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3753" w:rsidRPr="006354D1" w:rsidRDefault="00E7470A">
      <w:pPr>
        <w:rPr>
          <w:b/>
          <w:sz w:val="28"/>
        </w:rPr>
      </w:pPr>
      <w:r w:rsidRPr="006354D1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-15240</wp:posOffset>
                </wp:positionV>
                <wp:extent cx="5991225" cy="394335"/>
                <wp:effectExtent l="0" t="0" r="2857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7F" w:rsidRPr="00A64A93" w:rsidRDefault="00084819">
                            <w:pPr>
                              <w:spacing w:before="0"/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it-IT"/>
                              </w:rPr>
                              <w:t>SAED Etiopia e SUPSI</w:t>
                            </w:r>
                            <w:r w:rsidR="004B6B93">
                              <w:rPr>
                                <w:b/>
                                <w:bCs/>
                                <w:lang w:val="it-IT"/>
                              </w:rPr>
                              <w:t xml:space="preserve"> / </w:t>
                            </w:r>
                            <w:r w:rsidR="003125AB">
                              <w:rPr>
                                <w:b/>
                                <w:bCs/>
                                <w:lang w:val="it-IT"/>
                              </w:rPr>
                              <w:t xml:space="preserve">Accesso all’acqua potabile e promozione delle buone pratiche di igiene ad </w:t>
                            </w:r>
                            <w:proofErr w:type="spellStart"/>
                            <w:r w:rsidR="003125AB">
                              <w:rPr>
                                <w:b/>
                                <w:bCs/>
                                <w:lang w:val="it-IT"/>
                              </w:rPr>
                              <w:t>HAwassa</w:t>
                            </w:r>
                            <w:proofErr w:type="spellEnd"/>
                            <w:r w:rsidR="003125AB">
                              <w:rPr>
                                <w:b/>
                                <w:bCs/>
                                <w:lang w:val="it-IT"/>
                              </w:rPr>
                              <w:t>, Etiopia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1pt;margin-top:-1.2pt;width:471.75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">
                <v:textbox>
                  <w:txbxContent>
                    <w:p w:rsidR="00D8067F" w:rsidRPr="00A64A93" w:rsidRDefault="00084819">
                      <w:pPr>
                        <w:spacing w:before="0"/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>
                        <w:rPr>
                          <w:b/>
                          <w:bCs/>
                          <w:lang w:val="it-IT"/>
                        </w:rPr>
                        <w:t>SAED Etiopia e SUPSI</w:t>
                      </w:r>
                      <w:r w:rsidR="004B6B93">
                        <w:rPr>
                          <w:b/>
                          <w:bCs/>
                          <w:lang w:val="it-IT"/>
                        </w:rPr>
                        <w:t xml:space="preserve"> / </w:t>
                      </w:r>
                      <w:r w:rsidR="003125AB">
                        <w:rPr>
                          <w:b/>
                          <w:bCs/>
                          <w:lang w:val="it-IT"/>
                        </w:rPr>
                        <w:t xml:space="preserve">Accesso all’acqua potabile e promozione delle buone pratiche di igiene ad </w:t>
                      </w:r>
                      <w:proofErr w:type="spellStart"/>
                      <w:r w:rsidR="003125AB">
                        <w:rPr>
                          <w:b/>
                          <w:bCs/>
                          <w:lang w:val="it-IT"/>
                        </w:rPr>
                        <w:t>HAwassa</w:t>
                      </w:r>
                      <w:proofErr w:type="spellEnd"/>
                      <w:r w:rsidR="003125AB">
                        <w:rPr>
                          <w:b/>
                          <w:bCs/>
                          <w:lang w:val="it-IT"/>
                        </w:rPr>
                        <w:t>, Etiopia</w:t>
                      </w:r>
                    </w:p>
                  </w:txbxContent>
                </v:textbox>
              </v:rect>
            </w:pict>
          </mc:Fallback>
        </mc:AlternateContent>
      </w:r>
    </w:p>
    <w:p w:rsidR="009B3753" w:rsidRPr="006354D1" w:rsidRDefault="009B3753">
      <w:pPr>
        <w:rPr>
          <w:b/>
          <w:sz w:val="16"/>
        </w:rPr>
      </w:pPr>
    </w:p>
    <w:p w:rsidR="009B3753" w:rsidRPr="00FF38D7" w:rsidRDefault="00A64A93">
      <w:pPr>
        <w:spacing w:before="0" w:after="120"/>
        <w:rPr>
          <w:b/>
          <w:sz w:val="24"/>
          <w:lang w:val="it-IT"/>
        </w:rPr>
      </w:pPr>
      <w:r w:rsidRPr="00FF38D7">
        <w:rPr>
          <w:b/>
          <w:sz w:val="24"/>
          <w:lang w:val="it-IT"/>
        </w:rPr>
        <w:t>Second</w:t>
      </w:r>
      <w:r w:rsidR="004651BE" w:rsidRPr="00FF38D7">
        <w:rPr>
          <w:b/>
          <w:sz w:val="24"/>
          <w:lang w:val="it-IT"/>
        </w:rPr>
        <w:t>o parere</w:t>
      </w:r>
      <w:r w:rsidR="009B3753" w:rsidRPr="00FF38D7">
        <w:rPr>
          <w:b/>
          <w:sz w:val="24"/>
          <w:lang w:val="it-IT"/>
        </w:rPr>
        <w:t xml:space="preserve"> A</w:t>
      </w:r>
      <w:r w:rsidR="0098604C">
        <w:rPr>
          <w:b/>
          <w:sz w:val="24"/>
          <w:lang w:val="it-IT"/>
        </w:rPr>
        <w:t>GUASAN</w:t>
      </w:r>
      <w:r w:rsidR="009B3753" w:rsidRPr="00FF38D7">
        <w:rPr>
          <w:b/>
          <w:sz w:val="24"/>
          <w:lang w:val="it-IT"/>
        </w:rPr>
        <w:t xml:space="preserve"> </w:t>
      </w:r>
      <w:r w:rsidR="009B3753" w:rsidRPr="00FF38D7">
        <w:rPr>
          <w:bCs/>
          <w:sz w:val="24"/>
          <w:lang w:val="it-IT"/>
        </w:rPr>
        <w:t xml:space="preserve">(max. 1 </w:t>
      </w:r>
      <w:r w:rsidRPr="00FF38D7">
        <w:rPr>
          <w:bCs/>
          <w:sz w:val="24"/>
          <w:lang w:val="it-IT"/>
        </w:rPr>
        <w:t>pagina</w:t>
      </w:r>
      <w:r w:rsidR="009B3753" w:rsidRPr="00FF38D7">
        <w:rPr>
          <w:bCs/>
          <w:sz w:val="24"/>
          <w:lang w:val="it-IT"/>
        </w:rPr>
        <w:t>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98"/>
      </w:tblGrid>
      <w:tr w:rsidR="009B3753" w:rsidRPr="00FF38D7">
        <w:trPr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B3753" w:rsidRPr="00FF38D7" w:rsidRDefault="004B6B93">
            <w:pPr>
              <w:snapToGrid w:val="0"/>
              <w:spacing w:before="40" w:after="4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Raccomandazione </w:t>
            </w:r>
            <w:r w:rsidR="00A64A93" w:rsidRPr="00FF38D7">
              <w:rPr>
                <w:b/>
                <w:sz w:val="18"/>
                <w:lang w:val="it-IT"/>
              </w:rPr>
              <w:t>(conclusione della valutazione)</w:t>
            </w:r>
          </w:p>
        </w:tc>
      </w:tr>
      <w:tr w:rsidR="009B3753" w:rsidRPr="00FF38D7">
        <w:trPr>
          <w:trHeight w:val="64"/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3" w:rsidRPr="00FF38D7" w:rsidRDefault="003125AB" w:rsidP="003125AB">
            <w:pPr>
              <w:snapToGrid w:val="0"/>
              <w:spacing w:before="40" w:after="4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Si raccomanda di sostenere il progetto promosso da SAED Etiopia e SUPSI.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B3753" w:rsidRPr="00FF38D7" w:rsidRDefault="00A64A93">
            <w:pPr>
              <w:snapToGrid w:val="0"/>
              <w:spacing w:before="40" w:after="40"/>
              <w:rPr>
                <w:b/>
                <w:sz w:val="18"/>
                <w:lang w:val="it-IT"/>
              </w:rPr>
            </w:pPr>
            <w:r w:rsidRPr="00FF38D7">
              <w:rPr>
                <w:b/>
                <w:sz w:val="18"/>
                <w:lang w:val="it-IT"/>
              </w:rPr>
              <w:t>1. Rilevanza (utilità) del progetto</w:t>
            </w:r>
          </w:p>
        </w:tc>
      </w:tr>
      <w:tr w:rsidR="009B3753" w:rsidRPr="00FF38D7">
        <w:trPr>
          <w:trHeight w:val="64"/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3" w:rsidRPr="00FF38D7" w:rsidRDefault="003125AB" w:rsidP="003125AB">
            <w:pPr>
              <w:snapToGrid w:val="0"/>
              <w:spacing w:before="40" w:after="4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Secondo il contesto</w:t>
            </w:r>
            <w:r w:rsidR="00C5235A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 xml:space="preserve"> ampiamente descritto dalla documentazione presentata, gli obiettivi e le attività appaiono molto utili e pertinenti nel contesto periurbano di Hawassa. </w:t>
            </w:r>
            <w:r w:rsidR="00C5235A">
              <w:rPr>
                <w:sz w:val="18"/>
                <w:lang w:val="it-IT"/>
              </w:rPr>
              <w:t xml:space="preserve">Analogamente a molte grandi metropoli, le aree periurbane di Hawassa </w:t>
            </w:r>
            <w:r>
              <w:rPr>
                <w:sz w:val="18"/>
                <w:lang w:val="it-IT"/>
              </w:rPr>
              <w:t xml:space="preserve">sono abitate da un grande numero di persone che vivono in condizioni molto </w:t>
            </w:r>
            <w:r w:rsidR="00406A23">
              <w:rPr>
                <w:sz w:val="18"/>
                <w:lang w:val="it-IT"/>
              </w:rPr>
              <w:t>precarie</w:t>
            </w:r>
            <w:r>
              <w:rPr>
                <w:sz w:val="18"/>
                <w:lang w:val="it-IT"/>
              </w:rPr>
              <w:t xml:space="preserve"> nonostante la </w:t>
            </w:r>
            <w:r w:rsidR="005C77A9">
              <w:rPr>
                <w:sz w:val="18"/>
                <w:lang w:val="it-IT"/>
              </w:rPr>
              <w:t xml:space="preserve">presenza di reti pubbliche e la </w:t>
            </w:r>
            <w:r>
              <w:rPr>
                <w:sz w:val="18"/>
                <w:lang w:val="it-IT"/>
              </w:rPr>
              <w:t xml:space="preserve">relativa vicinanza </w:t>
            </w:r>
            <w:r w:rsidR="005C77A9">
              <w:rPr>
                <w:sz w:val="18"/>
                <w:lang w:val="it-IT"/>
              </w:rPr>
              <w:t>ai quartieri più agiati</w:t>
            </w:r>
            <w:r>
              <w:rPr>
                <w:sz w:val="18"/>
                <w:lang w:val="it-IT"/>
              </w:rPr>
              <w:t xml:space="preserve">. L’intervento proposto consente </w:t>
            </w:r>
            <w:r w:rsidR="00C5235A">
              <w:rPr>
                <w:sz w:val="18"/>
                <w:lang w:val="it-IT"/>
              </w:rPr>
              <w:t xml:space="preserve">pertanto </w:t>
            </w:r>
            <w:r>
              <w:rPr>
                <w:sz w:val="18"/>
                <w:lang w:val="it-IT"/>
              </w:rPr>
              <w:t>di lavorare su un elevato numero di individui con sforzi relativamente contenuti</w:t>
            </w:r>
            <w:r w:rsidR="005C77A9">
              <w:rPr>
                <w:sz w:val="18"/>
                <w:lang w:val="it-IT"/>
              </w:rPr>
              <w:t>.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B3753" w:rsidRPr="00FF38D7" w:rsidRDefault="00A64A93" w:rsidP="00A64A93">
            <w:pPr>
              <w:tabs>
                <w:tab w:val="left" w:pos="2393"/>
              </w:tabs>
              <w:snapToGrid w:val="0"/>
              <w:spacing w:before="40" w:after="40"/>
              <w:rPr>
                <w:b/>
                <w:sz w:val="18"/>
                <w:lang w:val="it-IT"/>
              </w:rPr>
            </w:pPr>
            <w:r w:rsidRPr="00FF38D7">
              <w:rPr>
                <w:b/>
                <w:sz w:val="18"/>
                <w:lang w:val="it-IT"/>
              </w:rPr>
              <w:t>2. Gli obiettivi (e indicatori) sono: specifici, misurabili, appropriati, pertinenti, e con tempi determinati</w:t>
            </w:r>
          </w:p>
        </w:tc>
      </w:tr>
      <w:tr w:rsidR="009B3753" w:rsidRPr="00FF38D7">
        <w:trPr>
          <w:trHeight w:val="64"/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3" w:rsidRPr="00FF38D7" w:rsidRDefault="003125AB" w:rsidP="00C5235A">
            <w:pPr>
              <w:spacing w:before="40" w:after="4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Gli obiettivi </w:t>
            </w:r>
            <w:r w:rsidR="00406A23">
              <w:rPr>
                <w:sz w:val="18"/>
                <w:lang w:val="it-IT"/>
              </w:rPr>
              <w:t xml:space="preserve">del progetto, chiari e facilmente misurabili, appaiono ragionevoli e ben </w:t>
            </w:r>
            <w:r w:rsidR="005C77A9">
              <w:rPr>
                <w:sz w:val="18"/>
                <w:lang w:val="it-IT"/>
              </w:rPr>
              <w:t>proporzionati</w:t>
            </w:r>
            <w:r w:rsidR="00406A23">
              <w:rPr>
                <w:sz w:val="18"/>
                <w:lang w:val="it-IT"/>
              </w:rPr>
              <w:t xml:space="preserve"> alle attività proposte. Anche i tempi di progetto sono sufficientemente lunghi da permettere un buon accompagnamento, a favore della sostenibilità delle azioni.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B3753" w:rsidRPr="00FF38D7" w:rsidRDefault="00A64A93">
            <w:pPr>
              <w:tabs>
                <w:tab w:val="left" w:pos="2592"/>
              </w:tabs>
              <w:snapToGrid w:val="0"/>
              <w:spacing w:before="40" w:after="40"/>
              <w:rPr>
                <w:b/>
                <w:sz w:val="18"/>
                <w:lang w:val="it-IT"/>
              </w:rPr>
            </w:pPr>
            <w:r w:rsidRPr="00FF38D7">
              <w:rPr>
                <w:b/>
                <w:sz w:val="18"/>
                <w:lang w:val="it-IT"/>
              </w:rPr>
              <w:t>3. Metodi proposti (attuazione)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3" w:rsidRPr="00FF38D7" w:rsidRDefault="00406A23" w:rsidP="005E7000">
            <w:pPr>
              <w:snapToGrid w:val="0"/>
              <w:spacing w:before="40" w:after="4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Chi scrive ritiene l’approcci</w:t>
            </w:r>
            <w:r w:rsidR="00386615">
              <w:rPr>
                <w:sz w:val="18"/>
                <w:lang w:val="it-IT"/>
              </w:rPr>
              <w:t>o</w:t>
            </w:r>
            <w:r>
              <w:rPr>
                <w:sz w:val="18"/>
                <w:lang w:val="it-IT"/>
              </w:rPr>
              <w:t xml:space="preserve"> proposto pertinente</w:t>
            </w:r>
            <w:r w:rsidR="00386615">
              <w:rPr>
                <w:sz w:val="18"/>
                <w:lang w:val="it-IT"/>
              </w:rPr>
              <w:t xml:space="preserve"> e adatto agli obiettivi che si intende perseguire</w:t>
            </w:r>
            <w:r>
              <w:rPr>
                <w:sz w:val="18"/>
                <w:lang w:val="it-IT"/>
              </w:rPr>
              <w:t xml:space="preserve">. Le attività, svolte su più livelli, coinvolgono tutti gli attori </w:t>
            </w:r>
            <w:r w:rsidR="00386615">
              <w:rPr>
                <w:sz w:val="18"/>
                <w:lang w:val="it-IT"/>
              </w:rPr>
              <w:t>pubblici e privati</w:t>
            </w:r>
            <w:r>
              <w:rPr>
                <w:sz w:val="18"/>
                <w:lang w:val="it-IT"/>
              </w:rPr>
              <w:t>. L</w:t>
            </w:r>
            <w:r w:rsidR="00386615">
              <w:rPr>
                <w:sz w:val="18"/>
                <w:lang w:val="it-IT"/>
              </w:rPr>
              <w:t>a</w:t>
            </w:r>
            <w:r>
              <w:rPr>
                <w:sz w:val="18"/>
                <w:lang w:val="it-IT"/>
              </w:rPr>
              <w:t xml:space="preserve"> scelta di adottare tecnologie a basso costo per la produzione locale di cloro, e di affiancare a questa attività un approccio basato sul business sociale </w:t>
            </w:r>
            <w:r w:rsidR="00386615">
              <w:rPr>
                <w:sz w:val="18"/>
                <w:lang w:val="it-IT"/>
              </w:rPr>
              <w:t xml:space="preserve">appare molto interessante e da sostenere. Anche la scelta di lavorare a fianco dell’azienda pubblica che gestisce l’acquedotto esistente, con il supporto della locale università, permette potenzialmente di sviluppare </w:t>
            </w:r>
            <w:r w:rsidR="005E7000">
              <w:rPr>
                <w:sz w:val="18"/>
                <w:lang w:val="it-IT"/>
              </w:rPr>
              <w:t>nuove attività e sinergie senza dubbio interessanti</w:t>
            </w:r>
            <w:r w:rsidR="00386615">
              <w:rPr>
                <w:sz w:val="18"/>
                <w:lang w:val="it-IT"/>
              </w:rPr>
              <w:t>.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B3753" w:rsidRPr="00FF38D7" w:rsidRDefault="00A64A93">
            <w:pPr>
              <w:snapToGrid w:val="0"/>
              <w:spacing w:before="40" w:after="40"/>
              <w:rPr>
                <w:b/>
                <w:sz w:val="18"/>
                <w:lang w:val="it-IT"/>
              </w:rPr>
            </w:pPr>
            <w:r w:rsidRPr="00FF38D7">
              <w:rPr>
                <w:b/>
                <w:sz w:val="18"/>
                <w:lang w:val="it-IT"/>
              </w:rPr>
              <w:t>4. I risultati attesi e la loro sostenibilità probabile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3" w:rsidRPr="00FF38D7" w:rsidRDefault="005E7000" w:rsidP="005C77A9">
            <w:pPr>
              <w:snapToGrid w:val="0"/>
              <w:spacing w:before="40" w:after="4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Il contesto di progetto descritto nella documentazione presentata lascia supporre che ci siano buone possibilità di generare un cambiamento durevole. Il coinvolgimento della azienda pubblica locale (già esistente e funzionante, seppure con i limiti che il progetto intende in qualche modo colmare) permette di utilizzare una struttura tecnica e </w:t>
            </w:r>
            <w:r w:rsidR="00606699">
              <w:rPr>
                <w:sz w:val="18"/>
                <w:lang w:val="it-IT"/>
              </w:rPr>
              <w:t>amministrativa</w:t>
            </w:r>
            <w:r>
              <w:rPr>
                <w:sz w:val="18"/>
                <w:lang w:val="it-IT"/>
              </w:rPr>
              <w:t xml:space="preserve"> esistente. </w:t>
            </w:r>
            <w:r w:rsidR="00606699">
              <w:rPr>
                <w:sz w:val="18"/>
                <w:lang w:val="it-IT"/>
              </w:rPr>
              <w:t>Inoltre,</w:t>
            </w:r>
            <w:r>
              <w:rPr>
                <w:sz w:val="18"/>
                <w:lang w:val="it-IT"/>
              </w:rPr>
              <w:t xml:space="preserve"> la creazione di nuove </w:t>
            </w:r>
            <w:r w:rsidR="00606699">
              <w:rPr>
                <w:sz w:val="18"/>
                <w:lang w:val="it-IT"/>
              </w:rPr>
              <w:t>imprese</w:t>
            </w:r>
            <w:r>
              <w:rPr>
                <w:sz w:val="18"/>
                <w:lang w:val="it-IT"/>
              </w:rPr>
              <w:t xml:space="preserve"> sociali per la </w:t>
            </w:r>
            <w:r w:rsidR="00606699">
              <w:rPr>
                <w:sz w:val="18"/>
                <w:lang w:val="it-IT"/>
              </w:rPr>
              <w:t xml:space="preserve">costruzione dei serbatoi e la </w:t>
            </w:r>
            <w:r>
              <w:rPr>
                <w:sz w:val="18"/>
                <w:lang w:val="it-IT"/>
              </w:rPr>
              <w:t xml:space="preserve">produzione locale di cloro </w:t>
            </w:r>
            <w:r w:rsidR="00D568FE">
              <w:rPr>
                <w:sz w:val="18"/>
                <w:lang w:val="it-IT"/>
              </w:rPr>
              <w:t>permetterà</w:t>
            </w:r>
            <w:r w:rsidR="00606699">
              <w:rPr>
                <w:sz w:val="18"/>
                <w:lang w:val="it-IT"/>
              </w:rPr>
              <w:t xml:space="preserve"> potenzialmente di creare degli introiti utili all’autosostentamento delle attività.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B3753" w:rsidRPr="00FF38D7" w:rsidRDefault="00A64A93" w:rsidP="00A64A93">
            <w:pPr>
              <w:snapToGrid w:val="0"/>
              <w:spacing w:before="40" w:after="40"/>
              <w:rPr>
                <w:b/>
                <w:sz w:val="18"/>
                <w:lang w:val="it-IT"/>
              </w:rPr>
            </w:pPr>
            <w:r w:rsidRPr="00FF38D7">
              <w:rPr>
                <w:b/>
                <w:sz w:val="18"/>
                <w:lang w:val="it-IT"/>
              </w:rPr>
              <w:t>5. Rischi e loro mitigazione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3" w:rsidRPr="00FF38D7" w:rsidRDefault="00606699" w:rsidP="005C77A9">
            <w:pPr>
              <w:snapToGrid w:val="0"/>
              <w:spacing w:before="40" w:after="4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Il progetto prende spunto da una analisi di contesto sviluppata da SUPSI e ETHZ nell’ambito di un lavoro di Master che ha permesso di ottenere un ritratto approfondito della situazione, dei problemi esistenti e degli attori coinvolti. Questo </w:t>
            </w:r>
            <w:r w:rsidR="00A60BA2">
              <w:rPr>
                <w:sz w:val="18"/>
                <w:lang w:val="it-IT"/>
              </w:rPr>
              <w:t xml:space="preserve">costituisce un buon punto di partenza per la </w:t>
            </w:r>
            <w:r w:rsidR="00F53CC2">
              <w:rPr>
                <w:sz w:val="18"/>
                <w:lang w:val="it-IT"/>
              </w:rPr>
              <w:t>riduzione dei rischi. La documentazione presentata contiene comunque una buona sintesi dei maggiori rischi potenzialmente presenti e delle relative misure di controllo che appaiono adeguate. La conoscenza del contesto, garantita o almeno facilitata dallo studio citato sopra, favorirà riduzione dei rischi.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B3753" w:rsidRPr="00FF38D7" w:rsidRDefault="00A64A93">
            <w:pPr>
              <w:snapToGrid w:val="0"/>
              <w:spacing w:before="40" w:after="40"/>
              <w:rPr>
                <w:b/>
                <w:sz w:val="18"/>
                <w:lang w:val="it-IT"/>
              </w:rPr>
            </w:pPr>
            <w:r w:rsidRPr="00FF38D7">
              <w:rPr>
                <w:b/>
                <w:sz w:val="18"/>
                <w:lang w:val="it-IT"/>
              </w:rPr>
              <w:t>6. Relazioni tra inputs e outputs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3" w:rsidRPr="00FF38D7" w:rsidRDefault="00F53CC2" w:rsidP="005C77A9">
            <w:pPr>
              <w:snapToGrid w:val="0"/>
              <w:spacing w:before="40" w:after="4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Il costo pro capite del progetto appare contenuto, grazie alla elevata densità che garantisce il contesto di lavoro.</w:t>
            </w:r>
            <w:r w:rsidR="008E314B">
              <w:rPr>
                <w:sz w:val="18"/>
                <w:lang w:val="it-IT"/>
              </w:rPr>
              <w:t xml:space="preserve"> </w:t>
            </w:r>
            <w:r w:rsidR="00C5235A">
              <w:rPr>
                <w:sz w:val="18"/>
                <w:lang w:val="it-IT"/>
              </w:rPr>
              <w:t>Inoltre,</w:t>
            </w:r>
            <w:r w:rsidR="008E314B">
              <w:rPr>
                <w:sz w:val="18"/>
                <w:lang w:val="it-IT"/>
              </w:rPr>
              <w:t xml:space="preserve"> le attività proposte sono bilanciate ai risultati attesi.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B3753" w:rsidRPr="00FF38D7" w:rsidRDefault="00A64A93">
            <w:pPr>
              <w:snapToGrid w:val="0"/>
              <w:spacing w:before="40" w:after="40"/>
              <w:rPr>
                <w:b/>
                <w:sz w:val="18"/>
                <w:lang w:val="it-IT"/>
              </w:rPr>
            </w:pPr>
            <w:r w:rsidRPr="00FF38D7">
              <w:rPr>
                <w:b/>
                <w:sz w:val="18"/>
                <w:lang w:val="it-IT"/>
              </w:rPr>
              <w:t>7. Commenti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3" w:rsidRPr="00FF38D7" w:rsidRDefault="008E314B" w:rsidP="005C77A9">
            <w:pPr>
              <w:widowControl/>
              <w:suppressAutoHyphens w:val="0"/>
              <w:autoSpaceDE w:val="0"/>
              <w:autoSpaceDN w:val="0"/>
              <w:adjustRightInd w:val="0"/>
              <w:spacing w:before="0"/>
              <w:rPr>
                <w:rFonts w:cs="Arial"/>
                <w:sz w:val="18"/>
                <w:szCs w:val="18"/>
                <w:lang w:val="it-IT" w:eastAsia="de-CH"/>
              </w:rPr>
            </w:pPr>
            <w:r>
              <w:rPr>
                <w:rFonts w:cs="Arial"/>
                <w:sz w:val="18"/>
                <w:szCs w:val="18"/>
                <w:lang w:val="it-IT" w:eastAsia="de-CH"/>
              </w:rPr>
              <w:t>Il progetto nel complesso appare molto interessante e ben concepito</w:t>
            </w:r>
            <w:r w:rsidR="00C5235A">
              <w:rPr>
                <w:rFonts w:cs="Arial"/>
                <w:sz w:val="18"/>
                <w:szCs w:val="18"/>
                <w:lang w:val="it-IT" w:eastAsia="de-CH"/>
              </w:rPr>
              <w:t>, basato su uno studio del contesto che costituisce una ottima baseline per</w:t>
            </w:r>
            <w:r w:rsidR="005C77A9">
              <w:rPr>
                <w:rFonts w:cs="Arial"/>
                <w:sz w:val="18"/>
                <w:szCs w:val="18"/>
                <w:lang w:val="it-IT" w:eastAsia="de-CH"/>
              </w:rPr>
              <w:t xml:space="preserve"> la</w:t>
            </w:r>
            <w:r w:rsidR="00C5235A">
              <w:rPr>
                <w:rFonts w:cs="Arial"/>
                <w:sz w:val="18"/>
                <w:szCs w:val="18"/>
                <w:lang w:val="it-IT" w:eastAsia="de-CH"/>
              </w:rPr>
              <w:t xml:space="preserve"> programmazione delle attività e la valutazione dell’impatto del progetto. Le possibilità che il progetto incida </w:t>
            </w:r>
            <w:r w:rsidR="005C77A9">
              <w:rPr>
                <w:rFonts w:cs="Arial"/>
                <w:sz w:val="18"/>
                <w:szCs w:val="18"/>
                <w:lang w:val="it-IT" w:eastAsia="de-CH"/>
              </w:rPr>
              <w:t>favorevolmente</w:t>
            </w:r>
            <w:r w:rsidR="00C5235A">
              <w:rPr>
                <w:rFonts w:cs="Arial"/>
                <w:sz w:val="18"/>
                <w:szCs w:val="18"/>
                <w:lang w:val="it-IT" w:eastAsia="de-CH"/>
              </w:rPr>
              <w:t xml:space="preserve"> e in maniera duratura appaiono elevate.</w:t>
            </w:r>
          </w:p>
        </w:tc>
      </w:tr>
      <w:tr w:rsidR="009B3753" w:rsidRPr="00FF38D7">
        <w:trPr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B3753" w:rsidRPr="00FF38D7" w:rsidRDefault="004651BE">
            <w:pPr>
              <w:snapToGrid w:val="0"/>
              <w:spacing w:before="40" w:after="40"/>
              <w:rPr>
                <w:b/>
                <w:sz w:val="18"/>
                <w:lang w:val="it-IT"/>
              </w:rPr>
            </w:pPr>
            <w:r w:rsidRPr="00FF38D7">
              <w:rPr>
                <w:b/>
                <w:sz w:val="18"/>
                <w:lang w:val="it-IT"/>
              </w:rPr>
              <w:t>Data, autore del secondo parere e le coordinate</w:t>
            </w:r>
          </w:p>
        </w:tc>
      </w:tr>
      <w:tr w:rsidR="009B3753" w:rsidRPr="00FF38D7">
        <w:trPr>
          <w:cantSplit/>
          <w:jc w:val="center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3" w:rsidRPr="00FF38D7" w:rsidRDefault="00C5235A" w:rsidP="005C77A9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Giacomo </w:t>
            </w:r>
            <w:proofErr w:type="spellStart"/>
            <w:r>
              <w:rPr>
                <w:sz w:val="18"/>
              </w:rPr>
              <w:t>Ghielmi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Commissione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Tecnica</w:t>
            </w:r>
            <w:proofErr w:type="spellEnd"/>
            <w:r>
              <w:rPr>
                <w:sz w:val="18"/>
              </w:rPr>
              <w:t xml:space="preserve"> FOSIT, Lugano, email: ghielmi.giacomo@gmail.com.</w:t>
            </w:r>
          </w:p>
        </w:tc>
      </w:tr>
    </w:tbl>
    <w:p w:rsidR="009B3753" w:rsidRPr="00952E4B" w:rsidRDefault="009B3753">
      <w:pPr>
        <w:pStyle w:val="Elenco"/>
        <w:spacing w:before="120" w:after="40"/>
        <w:jc w:val="right"/>
        <w:rPr>
          <w:sz w:val="2"/>
        </w:rPr>
      </w:pPr>
      <w:bookmarkStart w:id="0" w:name="_GoBack"/>
      <w:bookmarkEnd w:id="0"/>
    </w:p>
    <w:sectPr w:rsidR="009B3753" w:rsidRPr="00952E4B">
      <w:headerReference w:type="default" r:id="rId7"/>
      <w:footerReference w:type="default" r:id="rId8"/>
      <w:footnotePr>
        <w:pos w:val="beneathText"/>
      </w:footnotePr>
      <w:pgSz w:w="11900" w:h="16837"/>
      <w:pgMar w:top="1134" w:right="1134" w:bottom="851" w:left="1134" w:header="709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69" w:rsidRDefault="00272269">
      <w:r>
        <w:separator/>
      </w:r>
    </w:p>
  </w:endnote>
  <w:endnote w:type="continuationSeparator" w:id="0">
    <w:p w:rsidR="00272269" w:rsidRDefault="0027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7F" w:rsidRDefault="00D8067F">
    <w:pPr>
      <w:pStyle w:val="Pidipagina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69" w:rsidRDefault="00272269">
      <w:r>
        <w:separator/>
      </w:r>
    </w:p>
  </w:footnote>
  <w:footnote w:type="continuationSeparator" w:id="0">
    <w:p w:rsidR="00272269" w:rsidRDefault="0027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7F" w:rsidRDefault="00E7470A">
    <w:pPr>
      <w:pStyle w:val="Intestazione"/>
      <w:rPr>
        <w:szCs w:val="20"/>
        <w:lang w:val="it-CH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-104775</wp:posOffset>
          </wp:positionV>
          <wp:extent cx="1713865" cy="22796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89" b="4998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227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Arial" w:hAnsi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FC"/>
    <w:rsid w:val="00084819"/>
    <w:rsid w:val="000B021B"/>
    <w:rsid w:val="000E4881"/>
    <w:rsid w:val="00272269"/>
    <w:rsid w:val="002F2EDB"/>
    <w:rsid w:val="003125AB"/>
    <w:rsid w:val="00322B6C"/>
    <w:rsid w:val="00337274"/>
    <w:rsid w:val="003443DA"/>
    <w:rsid w:val="00386615"/>
    <w:rsid w:val="003E68D4"/>
    <w:rsid w:val="00406A23"/>
    <w:rsid w:val="004651BE"/>
    <w:rsid w:val="00497D6F"/>
    <w:rsid w:val="004B6B93"/>
    <w:rsid w:val="00576201"/>
    <w:rsid w:val="00584FFC"/>
    <w:rsid w:val="005C77A9"/>
    <w:rsid w:val="005E7000"/>
    <w:rsid w:val="00606699"/>
    <w:rsid w:val="006354D1"/>
    <w:rsid w:val="00721DEF"/>
    <w:rsid w:val="007E19FC"/>
    <w:rsid w:val="008E314B"/>
    <w:rsid w:val="00952E4B"/>
    <w:rsid w:val="009819D7"/>
    <w:rsid w:val="0098604C"/>
    <w:rsid w:val="009B3753"/>
    <w:rsid w:val="009B6240"/>
    <w:rsid w:val="00A22EE2"/>
    <w:rsid w:val="00A60BA2"/>
    <w:rsid w:val="00A64A93"/>
    <w:rsid w:val="00B02579"/>
    <w:rsid w:val="00B3000E"/>
    <w:rsid w:val="00B42098"/>
    <w:rsid w:val="00C5235A"/>
    <w:rsid w:val="00CF1E89"/>
    <w:rsid w:val="00D52C36"/>
    <w:rsid w:val="00D568FE"/>
    <w:rsid w:val="00D76C11"/>
    <w:rsid w:val="00D8067F"/>
    <w:rsid w:val="00E7470A"/>
    <w:rsid w:val="00EA129F"/>
    <w:rsid w:val="00F53CC2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D28F8E"/>
  <w15:chartTrackingRefBased/>
  <w15:docId w15:val="{E689C344-3108-4518-A9A3-BC4F075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suppressAutoHyphens/>
      <w:spacing w:before="120"/>
    </w:pPr>
    <w:rPr>
      <w:rFonts w:ascii="Arial" w:hAnsi="Arial"/>
      <w:sz w:val="22"/>
      <w:szCs w:val="22"/>
      <w:lang w:val="de-CH" w:eastAsia="ar-SA"/>
    </w:rPr>
  </w:style>
  <w:style w:type="paragraph" w:styleId="Titolo1">
    <w:name w:val="heading 1"/>
    <w:basedOn w:val="Normale"/>
    <w:next w:val="Normale"/>
    <w:qFormat/>
    <w:pPr>
      <w:keepNext/>
      <w:spacing w:before="0"/>
      <w:outlineLvl w:val="0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64A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Arial" w:eastAsia="Times New Roman" w:hAnsi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Carpredefinitoparagrafo0">
    <w:name w:val="Default Paragraph Font"/>
    <w:semiHidden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testo">
    <w:name w:val="Body Text"/>
    <w:basedOn w:val="Normale"/>
    <w:pPr>
      <w:spacing w:before="0"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Caption1">
    <w:name w:val="Caption1"/>
    <w:basedOn w:val="Normale"/>
    <w:pPr>
      <w:suppressLineNumbers/>
      <w:spacing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berschrift4">
    <w:name w:val="Überschrift_4"/>
    <w:basedOn w:val="Normale"/>
    <w:pPr>
      <w:spacing w:before="200"/>
    </w:pPr>
    <w:rPr>
      <w:b/>
      <w:szCs w:val="18"/>
      <w:lang w:val="de-DE"/>
    </w:rPr>
  </w:style>
  <w:style w:type="paragraph" w:customStyle="1" w:styleId="kastentext">
    <w:name w:val="kastentext"/>
    <w:basedOn w:val="Normale"/>
    <w:rPr>
      <w:i/>
      <w:sz w:val="16"/>
      <w:szCs w:val="18"/>
      <w:lang w:val="de-DE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snapToGrid w:val="0"/>
      <w:spacing w:before="60" w:after="60"/>
    </w:pPr>
    <w:rPr>
      <w:sz w:val="20"/>
    </w:rPr>
  </w:style>
  <w:style w:type="character" w:customStyle="1" w:styleId="Titolo3Carattere">
    <w:name w:val="Titolo 3 Carattere"/>
    <w:link w:val="Titolo3"/>
    <w:semiHidden/>
    <w:rsid w:val="00A64A93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D906AAB507409FFFA16A696648E4" ma:contentTypeVersion="12" ma:contentTypeDescription="Create a new document." ma:contentTypeScope="" ma:versionID="909e4690ccfe2ece48ba5ce5815dcf06">
  <xsd:schema xmlns:xsd="http://www.w3.org/2001/XMLSchema" xmlns:xs="http://www.w3.org/2001/XMLSchema" xmlns:p="http://schemas.microsoft.com/office/2006/metadata/properties" xmlns:ns2="42a3bd66-1a5b-498d-a95c-db100f66fc54" xmlns:ns3="e4a0e34d-635a-40eb-b135-239db7348a3f" targetNamespace="http://schemas.microsoft.com/office/2006/metadata/properties" ma:root="true" ma:fieldsID="9c7668fd7a440657e8fd4f36d5652ab2" ns2:_="" ns3:_="">
    <xsd:import namespace="42a3bd66-1a5b-498d-a95c-db100f66fc54"/>
    <xsd:import namespace="e4a0e34d-635a-40eb-b135-239db7348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bd66-1a5b-498d-a95c-db100f66f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e34d-635a-40eb-b135-239db7348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5EB16-CD07-47AF-B120-D5C00367DDFA}"/>
</file>

<file path=customXml/itemProps2.xml><?xml version="1.0" encoding="utf-8"?>
<ds:datastoreItem xmlns:ds="http://schemas.openxmlformats.org/officeDocument/2006/customXml" ds:itemID="{7B2E85C3-8B43-4278-9F30-86B67318D3ED}"/>
</file>

<file path=customXml/itemProps3.xml><?xml version="1.0" encoding="utf-8"?>
<ds:datastoreItem xmlns:ds="http://schemas.openxmlformats.org/officeDocument/2006/customXml" ds:itemID="{49F777E4-5D7B-4835-9EF0-058D9279D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Solidarit’Eau Suisse Aguasan 2nd opinion</vt:lpstr>
      <vt:lpstr>Solidarit’Eau Suisse Aguasan 2nd opinion</vt:lpstr>
    </vt:vector>
  </TitlesOfParts>
  <Company>ETH Zuerich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Solidarit’Eau Suisse Aguasan 2nd opinion</dc:title>
  <dc:subject/>
  <dc:creator>Roger Schmid</dc:creator>
  <cp:keywords/>
  <cp:lastModifiedBy>Francesca Cocchi</cp:lastModifiedBy>
  <cp:revision>3</cp:revision>
  <cp:lastPrinted>2008-03-06T08:16:00Z</cp:lastPrinted>
  <dcterms:created xsi:type="dcterms:W3CDTF">2019-02-04T21:19:00Z</dcterms:created>
  <dcterms:modified xsi:type="dcterms:W3CDTF">2019-02-04T22:47:00Z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0x010100C321D906AAB507409FFFA16A696648E4</vt:lpwstr>
  </property>
</Properties>
</file>