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4947B3" w14:textId="77777777" w:rsidR="009B3753" w:rsidRPr="0082420A" w:rsidRDefault="00175701" w:rsidP="009A0F77">
      <w:pPr>
        <w:tabs>
          <w:tab w:val="left" w:pos="7230"/>
        </w:tabs>
        <w:rPr>
          <w:b/>
          <w:sz w:val="28"/>
        </w:rPr>
      </w:pPr>
      <w:r w:rsidRPr="0082420A">
        <w:rPr>
          <w:noProof/>
          <w:sz w:val="20"/>
          <w:lang w:eastAsia="de-CH"/>
        </w:rPr>
        <mc:AlternateContent>
          <mc:Choice Requires="wps">
            <w:drawing>
              <wp:anchor distT="0" distB="0" distL="114300" distR="114300" simplePos="0" relativeHeight="251657728" behindDoc="0" locked="0" layoutInCell="1" allowOverlap="1" wp14:anchorId="1A995EEF" wp14:editId="69EC1D74">
                <wp:simplePos x="0" y="0"/>
                <wp:positionH relativeFrom="column">
                  <wp:posOffset>-20002</wp:posOffset>
                </wp:positionH>
                <wp:positionV relativeFrom="paragraph">
                  <wp:posOffset>116523</wp:posOffset>
                </wp:positionV>
                <wp:extent cx="613410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90525"/>
                        </a:xfrm>
                        <a:prstGeom prst="rect">
                          <a:avLst/>
                        </a:prstGeom>
                        <a:solidFill>
                          <a:srgbClr val="FFFFFF"/>
                        </a:solidFill>
                        <a:ln w="9525">
                          <a:solidFill>
                            <a:srgbClr val="000000"/>
                          </a:solidFill>
                          <a:miter lim="800000"/>
                          <a:headEnd/>
                          <a:tailEnd/>
                        </a:ln>
                      </wps:spPr>
                      <wps:txbx>
                        <w:txbxContent>
                          <w:p w14:paraId="53BB9A28" w14:textId="09A9735F" w:rsidR="00CC4C6C" w:rsidRDefault="00053FB7">
                            <w:pPr>
                              <w:spacing w:before="0"/>
                              <w:jc w:val="center"/>
                              <w:rPr>
                                <w:b/>
                                <w:bCs/>
                              </w:rPr>
                            </w:pPr>
                            <w:r>
                              <w:rPr>
                                <w:b/>
                                <w:bCs/>
                              </w:rPr>
                              <w:t>Caritas Schweiz</w:t>
                            </w:r>
                            <w:r w:rsidR="00CC4C6C">
                              <w:rPr>
                                <w:b/>
                                <w:bCs/>
                              </w:rPr>
                              <w:t xml:space="preserve"> / </w:t>
                            </w:r>
                            <w:r>
                              <w:rPr>
                                <w:b/>
                                <w:bCs/>
                              </w:rPr>
                              <w:t>Durch Zugang zu sauberem Trinkwasser verbessern sich die Lebensumstände von bolivianischen Dorfgemeinschaften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5pt;margin-top:9.2pt;width:483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">
                <v:textbox>
                  <w:txbxContent>
                    <w:p w14:paraId="53BB9A28" w14:textId="09A9735F" w:rsidR="00CC4C6C" w:rsidRDefault="00053FB7">
                      <w:pPr>
                        <w:spacing w:before="0"/>
                        <w:jc w:val="center"/>
                        <w:rPr>
                          <w:b/>
                          <w:bCs/>
                        </w:rPr>
                      </w:pPr>
                      <w:r>
                        <w:rPr>
                          <w:b/>
                          <w:bCs/>
                        </w:rPr>
                        <w:t>Caritas Schweiz</w:t>
                      </w:r>
                      <w:r w:rsidR="00CC4C6C">
                        <w:rPr>
                          <w:b/>
                          <w:bCs/>
                        </w:rPr>
                        <w:t xml:space="preserve"> / </w:t>
                      </w:r>
                      <w:r>
                        <w:rPr>
                          <w:b/>
                          <w:bCs/>
                        </w:rPr>
                        <w:t>Durch Zugang zu sauberem Trinkwasser verbessern sich die Lebensumstände von bolivianischen Dorfgemeinschaften</w:t>
                      </w:r>
                    </w:p>
                  </w:txbxContent>
                </v:textbox>
              </v:rect>
            </w:pict>
          </mc:Fallback>
        </mc:AlternateContent>
      </w:r>
    </w:p>
    <w:p w14:paraId="4B506330" w14:textId="77777777" w:rsidR="009B3753" w:rsidRDefault="009B3753">
      <w:pPr>
        <w:rPr>
          <w:b/>
          <w:sz w:val="16"/>
        </w:rPr>
      </w:pPr>
    </w:p>
    <w:p w14:paraId="0241C526" w14:textId="77777777" w:rsidR="00053FB7" w:rsidRPr="00053FB7" w:rsidRDefault="00053FB7">
      <w:pPr>
        <w:rPr>
          <w:b/>
          <w:sz w:val="4"/>
        </w:rPr>
      </w:pPr>
    </w:p>
    <w:p w14:paraId="08B7B31E" w14:textId="520F126C" w:rsidR="00404AFA" w:rsidRPr="00336340" w:rsidRDefault="006354D1" w:rsidP="00404AFA">
      <w:pPr>
        <w:spacing w:before="0" w:after="120"/>
        <w:rPr>
          <w:bCs/>
          <w:sz w:val="24"/>
        </w:rPr>
      </w:pPr>
      <w:r w:rsidRPr="0082420A">
        <w:rPr>
          <w:b/>
          <w:sz w:val="24"/>
        </w:rPr>
        <w:t>Zweitmeinung</w:t>
      </w:r>
      <w:r w:rsidR="009B3753" w:rsidRPr="0082420A">
        <w:rPr>
          <w:b/>
          <w:sz w:val="24"/>
        </w:rPr>
        <w:t xml:space="preserve"> </w:t>
      </w:r>
      <w:r w:rsidR="005A6B03" w:rsidRPr="0082420A">
        <w:rPr>
          <w:b/>
          <w:sz w:val="24"/>
        </w:rPr>
        <w:t>AGUASAN</w:t>
      </w:r>
      <w:r w:rsidR="009B3753" w:rsidRPr="0082420A">
        <w:rPr>
          <w:bCs/>
          <w:sz w:val="24"/>
        </w:rPr>
        <w:t>:</w:t>
      </w:r>
    </w:p>
    <w:tbl>
      <w:tblPr>
        <w:tblW w:w="9639" w:type="dxa"/>
        <w:jc w:val="center"/>
        <w:tblInd w:w="-5" w:type="dxa"/>
        <w:tblLayout w:type="fixed"/>
        <w:tblLook w:val="0000" w:firstRow="0" w:lastRow="0" w:firstColumn="0" w:lastColumn="0" w:noHBand="0" w:noVBand="0"/>
      </w:tblPr>
      <w:tblGrid>
        <w:gridCol w:w="9639"/>
      </w:tblGrid>
      <w:tr w:rsidR="009B3753" w:rsidRPr="0082420A" w14:paraId="52188AF9" w14:textId="77777777" w:rsidTr="00B74284">
        <w:trPr>
          <w:jc w:val="center"/>
        </w:trPr>
        <w:tc>
          <w:tcPr>
            <w:tcW w:w="9714" w:type="dxa"/>
            <w:tcBorders>
              <w:top w:val="single" w:sz="4" w:space="0" w:color="000000"/>
              <w:left w:val="single" w:sz="4" w:space="0" w:color="000000"/>
              <w:bottom w:val="single" w:sz="4" w:space="0" w:color="000000"/>
              <w:right w:val="single" w:sz="4" w:space="0" w:color="000000"/>
            </w:tcBorders>
            <w:shd w:val="clear" w:color="auto" w:fill="F3F3F3"/>
          </w:tcPr>
          <w:p w14:paraId="4139665B" w14:textId="0AD8D64E" w:rsidR="009B3753" w:rsidRPr="0082420A" w:rsidRDefault="006354D1">
            <w:pPr>
              <w:snapToGrid w:val="0"/>
              <w:spacing w:before="40" w:after="40"/>
              <w:rPr>
                <w:b/>
                <w:sz w:val="18"/>
              </w:rPr>
            </w:pPr>
            <w:r w:rsidRPr="0082420A">
              <w:rPr>
                <w:b/>
                <w:sz w:val="18"/>
              </w:rPr>
              <w:t>Empfehlung</w:t>
            </w:r>
            <w:r w:rsidR="009B3753" w:rsidRPr="0082420A">
              <w:rPr>
                <w:b/>
                <w:sz w:val="18"/>
              </w:rPr>
              <w:t xml:space="preserve"> (</w:t>
            </w:r>
            <w:r w:rsidR="00053FB7" w:rsidRPr="0082420A">
              <w:rPr>
                <w:b/>
                <w:sz w:val="18"/>
              </w:rPr>
              <w:t>Schlussfolgerung</w:t>
            </w:r>
            <w:r w:rsidRPr="0082420A">
              <w:rPr>
                <w:b/>
                <w:sz w:val="18"/>
              </w:rPr>
              <w:t xml:space="preserve"> der Beurteilung</w:t>
            </w:r>
            <w:r w:rsidR="009B3753" w:rsidRPr="0082420A">
              <w:rPr>
                <w:b/>
                <w:sz w:val="18"/>
              </w:rPr>
              <w:t>)</w:t>
            </w:r>
          </w:p>
        </w:tc>
      </w:tr>
      <w:tr w:rsidR="009B3753" w:rsidRPr="0082420A" w14:paraId="6409F24B" w14:textId="77777777" w:rsidTr="00B74284">
        <w:trPr>
          <w:trHeight w:val="64"/>
          <w:jc w:val="center"/>
        </w:trPr>
        <w:tc>
          <w:tcPr>
            <w:tcW w:w="9714" w:type="dxa"/>
            <w:tcBorders>
              <w:left w:val="single" w:sz="4" w:space="0" w:color="000000"/>
              <w:bottom w:val="single" w:sz="4" w:space="0" w:color="000000"/>
              <w:right w:val="single" w:sz="4" w:space="0" w:color="000000"/>
            </w:tcBorders>
          </w:tcPr>
          <w:p w14:paraId="7785D359" w14:textId="0C2F6451" w:rsidR="00404F3D" w:rsidRPr="0082420A" w:rsidRDefault="008A1789" w:rsidP="00053FB7">
            <w:pPr>
              <w:snapToGrid w:val="0"/>
              <w:spacing w:before="40" w:after="40"/>
              <w:rPr>
                <w:sz w:val="18"/>
              </w:rPr>
            </w:pPr>
            <w:r>
              <w:rPr>
                <w:sz w:val="18"/>
              </w:rPr>
              <w:t>D</w:t>
            </w:r>
            <w:r w:rsidRPr="003315DD">
              <w:rPr>
                <w:sz w:val="18"/>
              </w:rPr>
              <w:t>as Projekt kann zur Unterstützun</w:t>
            </w:r>
            <w:r w:rsidR="00053FB7">
              <w:rPr>
                <w:sz w:val="18"/>
              </w:rPr>
              <w:t>g empfohlen werden. Der Vorschlag basiert auf einer</w:t>
            </w:r>
            <w:r w:rsidRPr="003315DD">
              <w:rPr>
                <w:sz w:val="18"/>
              </w:rPr>
              <w:t xml:space="preserve"> </w:t>
            </w:r>
            <w:r>
              <w:rPr>
                <w:sz w:val="18"/>
              </w:rPr>
              <w:t>langfristige</w:t>
            </w:r>
            <w:r w:rsidR="00053FB7">
              <w:rPr>
                <w:sz w:val="18"/>
              </w:rPr>
              <w:t>n</w:t>
            </w:r>
            <w:r>
              <w:rPr>
                <w:sz w:val="18"/>
              </w:rPr>
              <w:t xml:space="preserve"> </w:t>
            </w:r>
            <w:r w:rsidR="001012C1">
              <w:rPr>
                <w:sz w:val="18"/>
              </w:rPr>
              <w:t>Zusammenarbeit</w:t>
            </w:r>
            <w:r>
              <w:rPr>
                <w:sz w:val="18"/>
              </w:rPr>
              <w:t xml:space="preserve"> v</w:t>
            </w:r>
            <w:r w:rsidR="003969BB">
              <w:rPr>
                <w:sz w:val="18"/>
              </w:rPr>
              <w:t>on Caritas Schweiz, Caritas Cor</w:t>
            </w:r>
            <w:r>
              <w:rPr>
                <w:sz w:val="18"/>
              </w:rPr>
              <w:t>oco</w:t>
            </w:r>
            <w:r w:rsidR="003969BB">
              <w:rPr>
                <w:sz w:val="18"/>
              </w:rPr>
              <w:t>ro</w:t>
            </w:r>
            <w:r>
              <w:rPr>
                <w:sz w:val="18"/>
              </w:rPr>
              <w:t xml:space="preserve"> und den lokalen Behörden und Bevölkerungen.</w:t>
            </w:r>
            <w:r w:rsidRPr="003315DD">
              <w:rPr>
                <w:sz w:val="18"/>
              </w:rPr>
              <w:t xml:space="preserve"> </w:t>
            </w:r>
            <w:r w:rsidRPr="008A1789">
              <w:rPr>
                <w:sz w:val="18"/>
              </w:rPr>
              <w:t>Die</w:t>
            </w:r>
            <w:r w:rsidR="00346D69">
              <w:rPr>
                <w:sz w:val="18"/>
              </w:rPr>
              <w:t xml:space="preserve"> </w:t>
            </w:r>
            <w:r w:rsidRPr="008A1789">
              <w:rPr>
                <w:sz w:val="18"/>
              </w:rPr>
              <w:t>Implementierung der vor</w:t>
            </w:r>
            <w:r w:rsidR="00053FB7">
              <w:rPr>
                <w:sz w:val="18"/>
              </w:rPr>
              <w:t>-</w:t>
            </w:r>
            <w:r w:rsidRPr="008A1789">
              <w:rPr>
                <w:sz w:val="18"/>
              </w:rPr>
              <w:t xml:space="preserve">herigen Projektphase in vier </w:t>
            </w:r>
            <w:r w:rsidR="00053FB7">
              <w:rPr>
                <w:sz w:val="18"/>
              </w:rPr>
              <w:t>Gemeinden des</w:t>
            </w:r>
            <w:r w:rsidRPr="008A1789">
              <w:rPr>
                <w:sz w:val="18"/>
              </w:rPr>
              <w:t xml:space="preserve"> Bezirks</w:t>
            </w:r>
            <w:r>
              <w:rPr>
                <w:sz w:val="18"/>
              </w:rPr>
              <w:t xml:space="preserve"> </w:t>
            </w:r>
            <w:r w:rsidRPr="008A1789">
              <w:rPr>
                <w:sz w:val="18"/>
              </w:rPr>
              <w:t xml:space="preserve">Sapahaqui wurde erfolgreich </w:t>
            </w:r>
            <w:r w:rsidR="001012C1" w:rsidRPr="008A1789">
              <w:rPr>
                <w:sz w:val="18"/>
              </w:rPr>
              <w:t>durchgeführt</w:t>
            </w:r>
            <w:r w:rsidRPr="008A1789">
              <w:rPr>
                <w:sz w:val="18"/>
              </w:rPr>
              <w:t>.</w:t>
            </w:r>
            <w:r>
              <w:rPr>
                <w:sz w:val="18"/>
              </w:rPr>
              <w:t xml:space="preserve"> </w:t>
            </w:r>
            <w:r w:rsidRPr="003315DD">
              <w:rPr>
                <w:sz w:val="18"/>
              </w:rPr>
              <w:t xml:space="preserve">Die </w:t>
            </w:r>
            <w:r>
              <w:rPr>
                <w:sz w:val="18"/>
              </w:rPr>
              <w:t>Einbindung der Bevölkerung</w:t>
            </w:r>
            <w:r w:rsidR="001012C1">
              <w:rPr>
                <w:sz w:val="18"/>
              </w:rPr>
              <w:t xml:space="preserve"> durch Gemeinde- und Schulkomitees</w:t>
            </w:r>
            <w:r>
              <w:rPr>
                <w:sz w:val="18"/>
              </w:rPr>
              <w:t xml:space="preserve"> </w:t>
            </w:r>
            <w:r w:rsidRPr="003315DD">
              <w:rPr>
                <w:sz w:val="18"/>
              </w:rPr>
              <w:t xml:space="preserve">und die Eigenleistung der </w:t>
            </w:r>
            <w:r>
              <w:rPr>
                <w:sz w:val="18"/>
              </w:rPr>
              <w:t>Begünstigten</w:t>
            </w:r>
            <w:r w:rsidRPr="003315DD">
              <w:rPr>
                <w:sz w:val="18"/>
              </w:rPr>
              <w:t xml:space="preserve"> bieten eine hohe Gewähr für die </w:t>
            </w:r>
            <w:r w:rsidR="00346D69">
              <w:rPr>
                <w:sz w:val="18"/>
              </w:rPr>
              <w:t xml:space="preserve">Nachhaltigkeit der Massnahmen. Zudem </w:t>
            </w:r>
            <w:r w:rsidRPr="003315DD">
              <w:rPr>
                <w:sz w:val="18"/>
              </w:rPr>
              <w:t xml:space="preserve">handelt </w:t>
            </w:r>
            <w:r w:rsidR="00346D69">
              <w:rPr>
                <w:sz w:val="18"/>
              </w:rPr>
              <w:t xml:space="preserve">es </w:t>
            </w:r>
            <w:r w:rsidRPr="003315DD">
              <w:rPr>
                <w:sz w:val="18"/>
              </w:rPr>
              <w:t xml:space="preserve">sich um eine Mitfinanzierung </w:t>
            </w:r>
            <w:r w:rsidR="00346D69">
              <w:rPr>
                <w:sz w:val="18"/>
              </w:rPr>
              <w:t>(Finanzbedarf ca. 25%)</w:t>
            </w:r>
            <w:r w:rsidRPr="003315DD">
              <w:rPr>
                <w:sz w:val="18"/>
              </w:rPr>
              <w:t>.</w:t>
            </w:r>
          </w:p>
        </w:tc>
      </w:tr>
      <w:tr w:rsidR="009B3753" w:rsidRPr="0082420A" w14:paraId="7AD296B5" w14:textId="77777777" w:rsidTr="00B74284">
        <w:trPr>
          <w:jc w:val="center"/>
        </w:trPr>
        <w:tc>
          <w:tcPr>
            <w:tcW w:w="9714" w:type="dxa"/>
            <w:tcBorders>
              <w:top w:val="single" w:sz="4" w:space="0" w:color="000000"/>
              <w:left w:val="single" w:sz="4" w:space="0" w:color="000000"/>
              <w:bottom w:val="single" w:sz="4" w:space="0" w:color="000000"/>
              <w:right w:val="single" w:sz="4" w:space="0" w:color="000000"/>
            </w:tcBorders>
            <w:shd w:val="clear" w:color="auto" w:fill="F3F3F3"/>
          </w:tcPr>
          <w:p w14:paraId="6CA115EA" w14:textId="77777777" w:rsidR="009B3753" w:rsidRPr="0082420A" w:rsidRDefault="00A22EE2">
            <w:pPr>
              <w:snapToGrid w:val="0"/>
              <w:spacing w:before="40" w:after="40"/>
              <w:rPr>
                <w:b/>
                <w:sz w:val="18"/>
              </w:rPr>
            </w:pPr>
            <w:r w:rsidRPr="0082420A">
              <w:rPr>
                <w:b/>
                <w:sz w:val="18"/>
              </w:rPr>
              <w:t xml:space="preserve">1. </w:t>
            </w:r>
            <w:r w:rsidR="006354D1" w:rsidRPr="0082420A">
              <w:rPr>
                <w:b/>
                <w:sz w:val="18"/>
              </w:rPr>
              <w:t>Relevanz</w:t>
            </w:r>
            <w:r w:rsidRPr="0082420A">
              <w:rPr>
                <w:b/>
                <w:sz w:val="18"/>
              </w:rPr>
              <w:t xml:space="preserve"> (</w:t>
            </w:r>
            <w:r w:rsidR="007E19FC" w:rsidRPr="0082420A">
              <w:rPr>
                <w:b/>
                <w:sz w:val="18"/>
              </w:rPr>
              <w:t>Zweckmäßigkeit</w:t>
            </w:r>
            <w:r w:rsidRPr="0082420A">
              <w:rPr>
                <w:b/>
                <w:sz w:val="18"/>
              </w:rPr>
              <w:t>)</w:t>
            </w:r>
            <w:r w:rsidR="009B3753" w:rsidRPr="0082420A">
              <w:rPr>
                <w:b/>
                <w:sz w:val="18"/>
              </w:rPr>
              <w:t xml:space="preserve"> </w:t>
            </w:r>
            <w:r w:rsidR="006354D1" w:rsidRPr="0082420A">
              <w:rPr>
                <w:b/>
                <w:sz w:val="18"/>
              </w:rPr>
              <w:t>des Projekts</w:t>
            </w:r>
          </w:p>
        </w:tc>
      </w:tr>
      <w:tr w:rsidR="009B3753" w:rsidRPr="0082420A" w14:paraId="0AC7EAB3" w14:textId="77777777" w:rsidTr="00B74284">
        <w:trPr>
          <w:trHeight w:val="64"/>
          <w:jc w:val="center"/>
        </w:trPr>
        <w:tc>
          <w:tcPr>
            <w:tcW w:w="9714" w:type="dxa"/>
            <w:tcBorders>
              <w:left w:val="single" w:sz="4" w:space="0" w:color="000000"/>
              <w:bottom w:val="single" w:sz="4" w:space="0" w:color="000000"/>
              <w:right w:val="single" w:sz="4" w:space="0" w:color="000000"/>
            </w:tcBorders>
          </w:tcPr>
          <w:p w14:paraId="4AF7686D" w14:textId="541EE3B1" w:rsidR="009B3753" w:rsidRPr="00E538B3" w:rsidRDefault="00883536" w:rsidP="00B74284">
            <w:pPr>
              <w:pStyle w:val="ListParagraph"/>
              <w:numPr>
                <w:ilvl w:val="0"/>
                <w:numId w:val="4"/>
              </w:numPr>
              <w:snapToGrid w:val="0"/>
              <w:spacing w:before="40" w:after="40"/>
              <w:ind w:left="75" w:hanging="142"/>
              <w:rPr>
                <w:sz w:val="18"/>
              </w:rPr>
            </w:pPr>
            <w:r w:rsidRPr="0082420A">
              <w:rPr>
                <w:sz w:val="18"/>
              </w:rPr>
              <w:t xml:space="preserve">Bolivien ist das ärmste Land </w:t>
            </w:r>
            <w:r w:rsidR="00346D69" w:rsidRPr="0082420A">
              <w:rPr>
                <w:sz w:val="18"/>
              </w:rPr>
              <w:t>Südamerikas</w:t>
            </w:r>
            <w:r w:rsidR="00B74284">
              <w:rPr>
                <w:sz w:val="18"/>
              </w:rPr>
              <w:t>: in</w:t>
            </w:r>
            <w:r w:rsidR="00EC573A" w:rsidRPr="00E538B3">
              <w:rPr>
                <w:sz w:val="18"/>
              </w:rPr>
              <w:t xml:space="preserve"> Sapahaqui </w:t>
            </w:r>
            <w:r w:rsidR="001423CF" w:rsidRPr="00E538B3">
              <w:rPr>
                <w:sz w:val="18"/>
              </w:rPr>
              <w:t>leben mehr als 95</w:t>
            </w:r>
            <w:r w:rsidR="00053FB7">
              <w:rPr>
                <w:sz w:val="18"/>
              </w:rPr>
              <w:t>%</w:t>
            </w:r>
            <w:r w:rsidR="001423CF" w:rsidRPr="00E538B3">
              <w:rPr>
                <w:sz w:val="18"/>
              </w:rPr>
              <w:t xml:space="preserve"> der</w:t>
            </w:r>
            <w:r w:rsidR="00EC573A" w:rsidRPr="00E538B3">
              <w:rPr>
                <w:sz w:val="18"/>
              </w:rPr>
              <w:t xml:space="preserve"> </w:t>
            </w:r>
            <w:r w:rsidR="001423CF" w:rsidRPr="00E538B3">
              <w:rPr>
                <w:sz w:val="18"/>
              </w:rPr>
              <w:t>Bevölkerung unter der Armuts</w:t>
            </w:r>
            <w:r w:rsidR="00B74284">
              <w:rPr>
                <w:sz w:val="18"/>
              </w:rPr>
              <w:t>-</w:t>
            </w:r>
            <w:r w:rsidR="001423CF" w:rsidRPr="00E538B3">
              <w:rPr>
                <w:sz w:val="18"/>
              </w:rPr>
              <w:t>grenze</w:t>
            </w:r>
            <w:r w:rsidR="00F04CEA" w:rsidRPr="00E538B3">
              <w:rPr>
                <w:sz w:val="18"/>
              </w:rPr>
              <w:t xml:space="preserve">. Dies bedeutet </w:t>
            </w:r>
            <w:r w:rsidR="00053FB7">
              <w:rPr>
                <w:sz w:val="18"/>
              </w:rPr>
              <w:t>u.a.</w:t>
            </w:r>
            <w:r w:rsidR="00F04CEA" w:rsidRPr="00E538B3">
              <w:rPr>
                <w:sz w:val="18"/>
              </w:rPr>
              <w:t xml:space="preserve"> mangelnder</w:t>
            </w:r>
            <w:r w:rsidR="00EC573A" w:rsidRPr="00E538B3">
              <w:rPr>
                <w:sz w:val="18"/>
              </w:rPr>
              <w:t xml:space="preserve"> </w:t>
            </w:r>
            <w:r w:rsidR="001423CF" w:rsidRPr="00E538B3">
              <w:rPr>
                <w:sz w:val="18"/>
              </w:rPr>
              <w:t>Zugang zu Bildung, Gesundheit, sauberem Wasser oder</w:t>
            </w:r>
            <w:r w:rsidR="00EC573A" w:rsidRPr="00E538B3">
              <w:rPr>
                <w:sz w:val="18"/>
              </w:rPr>
              <w:t xml:space="preserve"> </w:t>
            </w:r>
            <w:r w:rsidR="001423CF" w:rsidRPr="00E538B3">
              <w:rPr>
                <w:sz w:val="18"/>
              </w:rPr>
              <w:t>sanitären Anlagen</w:t>
            </w:r>
            <w:r w:rsidR="00EC573A" w:rsidRPr="00E538B3">
              <w:rPr>
                <w:sz w:val="18"/>
              </w:rPr>
              <w:t>.</w:t>
            </w:r>
          </w:p>
          <w:p w14:paraId="402695FE" w14:textId="7007659C" w:rsidR="009B3753" w:rsidRPr="00053FB7" w:rsidRDefault="00883536" w:rsidP="00B74284">
            <w:pPr>
              <w:pStyle w:val="ListParagraph"/>
              <w:numPr>
                <w:ilvl w:val="0"/>
                <w:numId w:val="4"/>
              </w:numPr>
              <w:snapToGrid w:val="0"/>
              <w:spacing w:before="40" w:after="40"/>
              <w:ind w:left="75" w:hanging="142"/>
              <w:rPr>
                <w:sz w:val="18"/>
              </w:rPr>
            </w:pPr>
            <w:r w:rsidRPr="0082420A">
              <w:rPr>
                <w:sz w:val="18"/>
              </w:rPr>
              <w:t xml:space="preserve">Niederschläge in der Region sind gering und viele Wasserläufe haben einen </w:t>
            </w:r>
            <w:r w:rsidR="00346D69" w:rsidRPr="0082420A">
              <w:rPr>
                <w:sz w:val="18"/>
              </w:rPr>
              <w:t>für</w:t>
            </w:r>
            <w:r w:rsidRPr="0082420A">
              <w:rPr>
                <w:sz w:val="18"/>
              </w:rPr>
              <w:t xml:space="preserve"> den menschlichen Konsum zu hohen Salzgehalt.</w:t>
            </w:r>
            <w:r w:rsidR="00053FB7">
              <w:rPr>
                <w:sz w:val="18"/>
              </w:rPr>
              <w:t xml:space="preserve"> </w:t>
            </w:r>
            <w:r w:rsidR="00EC573A" w:rsidRPr="00053FB7">
              <w:rPr>
                <w:sz w:val="18"/>
              </w:rPr>
              <w:t>I</w:t>
            </w:r>
            <w:r w:rsidR="001423CF" w:rsidRPr="00053FB7">
              <w:rPr>
                <w:sz w:val="18"/>
              </w:rPr>
              <w:t xml:space="preserve">n vielen </w:t>
            </w:r>
            <w:r w:rsidR="008F05DE" w:rsidRPr="00053FB7">
              <w:rPr>
                <w:sz w:val="18"/>
              </w:rPr>
              <w:t>Gemeinden</w:t>
            </w:r>
            <w:r w:rsidR="001423CF" w:rsidRPr="00053FB7">
              <w:rPr>
                <w:sz w:val="18"/>
              </w:rPr>
              <w:t xml:space="preserve"> </w:t>
            </w:r>
            <w:r w:rsidRPr="00053FB7">
              <w:rPr>
                <w:sz w:val="18"/>
              </w:rPr>
              <w:t xml:space="preserve">gibt es </w:t>
            </w:r>
            <w:r w:rsidR="001423CF" w:rsidRPr="00053FB7">
              <w:rPr>
                <w:sz w:val="18"/>
              </w:rPr>
              <w:t>keine</w:t>
            </w:r>
            <w:r w:rsidR="00EC573A" w:rsidRPr="00053FB7">
              <w:rPr>
                <w:sz w:val="18"/>
              </w:rPr>
              <w:t xml:space="preserve"> </w:t>
            </w:r>
            <w:r w:rsidR="00346D69" w:rsidRPr="00053FB7">
              <w:rPr>
                <w:sz w:val="18"/>
              </w:rPr>
              <w:t>Trinkwasserversorgungssysteme. Falls</w:t>
            </w:r>
            <w:r w:rsidR="00EC573A" w:rsidRPr="00053FB7">
              <w:rPr>
                <w:sz w:val="18"/>
              </w:rPr>
              <w:t xml:space="preserve"> Hausanschlüsse bestehen sind diese </w:t>
            </w:r>
            <w:r w:rsidR="001423CF" w:rsidRPr="00053FB7">
              <w:rPr>
                <w:sz w:val="18"/>
              </w:rPr>
              <w:t>oftmals</w:t>
            </w:r>
            <w:r w:rsidR="00EC573A" w:rsidRPr="00053FB7">
              <w:rPr>
                <w:sz w:val="18"/>
              </w:rPr>
              <w:t xml:space="preserve"> </w:t>
            </w:r>
            <w:r w:rsidR="001423CF" w:rsidRPr="00053FB7">
              <w:rPr>
                <w:sz w:val="18"/>
              </w:rPr>
              <w:t>veraltet und nur bedin</w:t>
            </w:r>
            <w:r w:rsidR="00346D69" w:rsidRPr="00053FB7">
              <w:rPr>
                <w:sz w:val="18"/>
              </w:rPr>
              <w:t>gt funktionsfähig.</w:t>
            </w:r>
          </w:p>
          <w:p w14:paraId="38B0EA9C" w14:textId="16141129" w:rsidR="00883536" w:rsidRPr="00053FB7" w:rsidRDefault="001423CF" w:rsidP="00B74284">
            <w:pPr>
              <w:pStyle w:val="ListParagraph"/>
              <w:numPr>
                <w:ilvl w:val="0"/>
                <w:numId w:val="4"/>
              </w:numPr>
              <w:snapToGrid w:val="0"/>
              <w:spacing w:before="40" w:after="40"/>
              <w:ind w:left="75" w:hanging="142"/>
              <w:rPr>
                <w:sz w:val="18"/>
              </w:rPr>
            </w:pPr>
            <w:r w:rsidRPr="0082420A">
              <w:rPr>
                <w:sz w:val="18"/>
              </w:rPr>
              <w:t xml:space="preserve">Wasser </w:t>
            </w:r>
            <w:r w:rsidR="008F05DE" w:rsidRPr="0082420A">
              <w:rPr>
                <w:sz w:val="18"/>
              </w:rPr>
              <w:t>für</w:t>
            </w:r>
            <w:r w:rsidRPr="0082420A">
              <w:rPr>
                <w:sz w:val="18"/>
              </w:rPr>
              <w:t xml:space="preserve"> den täglichen Gebrauch </w:t>
            </w:r>
            <w:r w:rsidR="00883536" w:rsidRPr="0082420A">
              <w:rPr>
                <w:sz w:val="18"/>
              </w:rPr>
              <w:t>wird</w:t>
            </w:r>
            <w:r w:rsidR="00346D69">
              <w:rPr>
                <w:sz w:val="18"/>
              </w:rPr>
              <w:t xml:space="preserve"> in mühsa</w:t>
            </w:r>
            <w:r w:rsidR="00B74284">
              <w:rPr>
                <w:sz w:val="18"/>
              </w:rPr>
              <w:t xml:space="preserve">mer Arbeit von vor allem Frauen und </w:t>
            </w:r>
            <w:r w:rsidR="00346D69">
              <w:rPr>
                <w:sz w:val="18"/>
              </w:rPr>
              <w:t>Mädchen</w:t>
            </w:r>
            <w:r w:rsidRPr="0082420A">
              <w:rPr>
                <w:sz w:val="18"/>
              </w:rPr>
              <w:t xml:space="preserve"> aus</w:t>
            </w:r>
            <w:r w:rsidR="00EC573A" w:rsidRPr="0082420A">
              <w:rPr>
                <w:sz w:val="18"/>
              </w:rPr>
              <w:t xml:space="preserve"> </w:t>
            </w:r>
            <w:r w:rsidRPr="0082420A">
              <w:rPr>
                <w:sz w:val="18"/>
              </w:rPr>
              <w:t>verschmutzten Kanälen oder dem</w:t>
            </w:r>
            <w:r w:rsidR="00EC573A" w:rsidRPr="0082420A">
              <w:rPr>
                <w:sz w:val="18"/>
              </w:rPr>
              <w:t xml:space="preserve"> </w:t>
            </w:r>
            <w:r w:rsidR="00883536" w:rsidRPr="0082420A">
              <w:rPr>
                <w:sz w:val="18"/>
              </w:rPr>
              <w:t>salpeterhaltigen Sapahaqui-Fuss geschöpft.</w:t>
            </w:r>
            <w:r w:rsidR="00053FB7">
              <w:rPr>
                <w:sz w:val="18"/>
              </w:rPr>
              <w:t xml:space="preserve"> </w:t>
            </w:r>
            <w:r w:rsidR="00346D69" w:rsidRPr="00053FB7">
              <w:rPr>
                <w:sz w:val="18"/>
              </w:rPr>
              <w:t>Di</w:t>
            </w:r>
            <w:r w:rsidRPr="00053FB7">
              <w:rPr>
                <w:sz w:val="18"/>
              </w:rPr>
              <w:t xml:space="preserve">e Wasserstellen </w:t>
            </w:r>
            <w:r w:rsidR="00346D69" w:rsidRPr="00053FB7">
              <w:rPr>
                <w:sz w:val="18"/>
              </w:rPr>
              <w:t xml:space="preserve">werden gleichzeitig </w:t>
            </w:r>
            <w:r w:rsidR="00B74284" w:rsidRPr="00053FB7">
              <w:rPr>
                <w:sz w:val="18"/>
              </w:rPr>
              <w:t>für</w:t>
            </w:r>
            <w:r w:rsidR="00B74284">
              <w:rPr>
                <w:sz w:val="18"/>
              </w:rPr>
              <w:t>s</w:t>
            </w:r>
            <w:r w:rsidR="00EC573A" w:rsidRPr="00053FB7">
              <w:rPr>
                <w:sz w:val="18"/>
              </w:rPr>
              <w:t xml:space="preserve"> </w:t>
            </w:r>
            <w:r w:rsidRPr="00053FB7">
              <w:rPr>
                <w:sz w:val="18"/>
              </w:rPr>
              <w:t>Wäsche</w:t>
            </w:r>
            <w:r w:rsidR="00B74284">
              <w:rPr>
                <w:sz w:val="18"/>
              </w:rPr>
              <w:t>-</w:t>
            </w:r>
            <w:r w:rsidRPr="00053FB7">
              <w:rPr>
                <w:sz w:val="18"/>
              </w:rPr>
              <w:t xml:space="preserve">waschen benutzt und dienen </w:t>
            </w:r>
            <w:r w:rsidR="00E538B3" w:rsidRPr="00053FB7">
              <w:rPr>
                <w:sz w:val="18"/>
              </w:rPr>
              <w:t>den Nutztieren als Trinkstellen, was erhebliche hygienische Probleme mit sich bringt.</w:t>
            </w:r>
          </w:p>
          <w:p w14:paraId="317C5B50" w14:textId="492354D6" w:rsidR="00B322FE" w:rsidRPr="0082420A" w:rsidRDefault="00883536" w:rsidP="00B74284">
            <w:pPr>
              <w:pStyle w:val="ListParagraph"/>
              <w:numPr>
                <w:ilvl w:val="0"/>
                <w:numId w:val="4"/>
              </w:numPr>
              <w:snapToGrid w:val="0"/>
              <w:spacing w:before="40" w:after="40"/>
              <w:ind w:left="75" w:hanging="142"/>
              <w:rPr>
                <w:sz w:val="18"/>
              </w:rPr>
            </w:pPr>
            <w:r w:rsidRPr="0082420A">
              <w:rPr>
                <w:sz w:val="18"/>
              </w:rPr>
              <w:t xml:space="preserve">Das Fehlen von Trinkwasser und die </w:t>
            </w:r>
            <w:r w:rsidR="00EC573A" w:rsidRPr="0082420A">
              <w:rPr>
                <w:sz w:val="18"/>
              </w:rPr>
              <w:t>m</w:t>
            </w:r>
            <w:r w:rsidR="001423CF" w:rsidRPr="0082420A">
              <w:rPr>
                <w:sz w:val="18"/>
              </w:rPr>
              <w:t xml:space="preserve">angelnde Hygienegewohnheiten </w:t>
            </w:r>
            <w:r w:rsidRPr="0082420A">
              <w:rPr>
                <w:sz w:val="18"/>
              </w:rPr>
              <w:t xml:space="preserve">führt </w:t>
            </w:r>
            <w:r w:rsidR="001423CF" w:rsidRPr="0082420A">
              <w:rPr>
                <w:sz w:val="18"/>
              </w:rPr>
              <w:t>zur Verbreitung von schweren</w:t>
            </w:r>
            <w:r w:rsidR="00EC573A" w:rsidRPr="0082420A">
              <w:rPr>
                <w:sz w:val="18"/>
              </w:rPr>
              <w:t xml:space="preserve"> </w:t>
            </w:r>
            <w:r w:rsidR="001423CF" w:rsidRPr="0082420A">
              <w:rPr>
                <w:sz w:val="18"/>
              </w:rPr>
              <w:t>Krankheiten</w:t>
            </w:r>
            <w:r w:rsidR="00EC573A" w:rsidRPr="0082420A">
              <w:rPr>
                <w:sz w:val="18"/>
              </w:rPr>
              <w:t xml:space="preserve"> was die Kindersterblichkeit und di</w:t>
            </w:r>
            <w:r w:rsidRPr="0082420A">
              <w:rPr>
                <w:sz w:val="18"/>
              </w:rPr>
              <w:t>e</w:t>
            </w:r>
            <w:r w:rsidR="001423CF" w:rsidRPr="0082420A">
              <w:rPr>
                <w:sz w:val="18"/>
              </w:rPr>
              <w:t xml:space="preserve"> Kindesentwicklung</w:t>
            </w:r>
            <w:r w:rsidR="00EC573A" w:rsidRPr="0082420A">
              <w:rPr>
                <w:sz w:val="18"/>
              </w:rPr>
              <w:t xml:space="preserve"> negativ </w:t>
            </w:r>
            <w:r w:rsidRPr="0082420A">
              <w:rPr>
                <w:sz w:val="18"/>
              </w:rPr>
              <w:t>beeinflusst</w:t>
            </w:r>
            <w:r w:rsidR="00EC573A" w:rsidRPr="0082420A">
              <w:rPr>
                <w:sz w:val="18"/>
              </w:rPr>
              <w:t>.</w:t>
            </w:r>
          </w:p>
        </w:tc>
      </w:tr>
      <w:tr w:rsidR="009B3753" w:rsidRPr="0082420A" w14:paraId="7D77133E" w14:textId="77777777" w:rsidTr="00B74284">
        <w:trPr>
          <w:jc w:val="center"/>
        </w:trPr>
        <w:tc>
          <w:tcPr>
            <w:tcW w:w="9714" w:type="dxa"/>
            <w:tcBorders>
              <w:left w:val="single" w:sz="4" w:space="0" w:color="000000"/>
              <w:bottom w:val="single" w:sz="4" w:space="0" w:color="000000"/>
              <w:right w:val="single" w:sz="4" w:space="0" w:color="000000"/>
            </w:tcBorders>
            <w:shd w:val="clear" w:color="auto" w:fill="F3F3F3"/>
          </w:tcPr>
          <w:p w14:paraId="32839850" w14:textId="0567CCAC" w:rsidR="009B3753" w:rsidRPr="0082420A" w:rsidRDefault="009B3753" w:rsidP="00A22EE2">
            <w:pPr>
              <w:tabs>
                <w:tab w:val="left" w:pos="2393"/>
              </w:tabs>
              <w:snapToGrid w:val="0"/>
              <w:spacing w:before="40" w:after="40"/>
              <w:rPr>
                <w:b/>
                <w:sz w:val="18"/>
              </w:rPr>
            </w:pPr>
            <w:r w:rsidRPr="0082420A">
              <w:rPr>
                <w:b/>
                <w:sz w:val="18"/>
              </w:rPr>
              <w:t xml:space="preserve">2. </w:t>
            </w:r>
            <w:r w:rsidR="006354D1" w:rsidRPr="0082420A">
              <w:rPr>
                <w:b/>
                <w:sz w:val="18"/>
              </w:rPr>
              <w:t>Sind die Ziele</w:t>
            </w:r>
            <w:r w:rsidR="00A22EE2" w:rsidRPr="0082420A">
              <w:rPr>
                <w:b/>
                <w:sz w:val="18"/>
              </w:rPr>
              <w:t xml:space="preserve"> (</w:t>
            </w:r>
            <w:r w:rsidR="006354D1" w:rsidRPr="0082420A">
              <w:rPr>
                <w:b/>
                <w:sz w:val="18"/>
              </w:rPr>
              <w:t>und Indikatoren)</w:t>
            </w:r>
            <w:r w:rsidR="00A22EE2" w:rsidRPr="0082420A">
              <w:rPr>
                <w:b/>
                <w:sz w:val="18"/>
              </w:rPr>
              <w:t xml:space="preserve"> SMART? </w:t>
            </w:r>
            <w:r w:rsidR="00A22EE2" w:rsidRPr="0082420A">
              <w:rPr>
                <w:sz w:val="16"/>
                <w:szCs w:val="16"/>
              </w:rPr>
              <w:t>(</w:t>
            </w:r>
            <w:r w:rsidR="00A22EE2" w:rsidRPr="0082420A">
              <w:rPr>
                <w:sz w:val="16"/>
                <w:szCs w:val="16"/>
                <w:u w:val="single"/>
              </w:rPr>
              <w:t>S</w:t>
            </w:r>
            <w:r w:rsidR="006354D1" w:rsidRPr="0082420A">
              <w:rPr>
                <w:sz w:val="16"/>
                <w:szCs w:val="16"/>
              </w:rPr>
              <w:t>pezifisch</w:t>
            </w:r>
            <w:r w:rsidR="00A22EE2" w:rsidRPr="0082420A">
              <w:rPr>
                <w:sz w:val="16"/>
                <w:szCs w:val="16"/>
              </w:rPr>
              <w:t xml:space="preserve">, </w:t>
            </w:r>
            <w:r w:rsidR="003969BB" w:rsidRPr="0082420A">
              <w:rPr>
                <w:sz w:val="16"/>
                <w:szCs w:val="16"/>
                <w:u w:val="single"/>
              </w:rPr>
              <w:t>M</w:t>
            </w:r>
            <w:r w:rsidR="003969BB" w:rsidRPr="0082420A">
              <w:rPr>
                <w:sz w:val="16"/>
                <w:szCs w:val="16"/>
              </w:rPr>
              <w:t>essbar</w:t>
            </w:r>
            <w:r w:rsidR="00A22EE2" w:rsidRPr="0082420A">
              <w:rPr>
                <w:sz w:val="16"/>
                <w:szCs w:val="16"/>
              </w:rPr>
              <w:t xml:space="preserve">, </w:t>
            </w:r>
            <w:r w:rsidR="00A22EE2" w:rsidRPr="0082420A">
              <w:rPr>
                <w:sz w:val="16"/>
                <w:szCs w:val="16"/>
                <w:u w:val="single"/>
              </w:rPr>
              <w:t>A</w:t>
            </w:r>
            <w:r w:rsidR="006354D1" w:rsidRPr="0082420A">
              <w:rPr>
                <w:sz w:val="16"/>
                <w:szCs w:val="16"/>
              </w:rPr>
              <w:t>ngemessen</w:t>
            </w:r>
            <w:r w:rsidR="00A22EE2" w:rsidRPr="0082420A">
              <w:rPr>
                <w:sz w:val="16"/>
                <w:szCs w:val="16"/>
              </w:rPr>
              <w:t xml:space="preserve">, </w:t>
            </w:r>
            <w:r w:rsidR="00A22EE2" w:rsidRPr="0082420A">
              <w:rPr>
                <w:sz w:val="16"/>
                <w:szCs w:val="16"/>
                <w:u w:val="single"/>
              </w:rPr>
              <w:t>R</w:t>
            </w:r>
            <w:r w:rsidR="006354D1" w:rsidRPr="0082420A">
              <w:rPr>
                <w:sz w:val="16"/>
                <w:szCs w:val="16"/>
              </w:rPr>
              <w:t>elevant</w:t>
            </w:r>
            <w:r w:rsidR="00A22EE2" w:rsidRPr="0082420A">
              <w:rPr>
                <w:sz w:val="16"/>
                <w:szCs w:val="16"/>
              </w:rPr>
              <w:t xml:space="preserve">, </w:t>
            </w:r>
            <w:r w:rsidR="00A22EE2" w:rsidRPr="0082420A">
              <w:rPr>
                <w:sz w:val="16"/>
                <w:szCs w:val="16"/>
                <w:u w:val="single"/>
              </w:rPr>
              <w:t>T</w:t>
            </w:r>
            <w:r w:rsidR="006354D1" w:rsidRPr="0082420A">
              <w:rPr>
                <w:sz w:val="16"/>
                <w:szCs w:val="16"/>
              </w:rPr>
              <w:t>erminiert</w:t>
            </w:r>
            <w:r w:rsidR="00A22EE2" w:rsidRPr="0082420A">
              <w:rPr>
                <w:sz w:val="16"/>
                <w:szCs w:val="16"/>
              </w:rPr>
              <w:t>)</w:t>
            </w:r>
          </w:p>
        </w:tc>
      </w:tr>
      <w:tr w:rsidR="009B3753" w:rsidRPr="0082420A" w14:paraId="6B41F6AD" w14:textId="77777777" w:rsidTr="00B74284">
        <w:trPr>
          <w:trHeight w:val="64"/>
          <w:jc w:val="center"/>
        </w:trPr>
        <w:tc>
          <w:tcPr>
            <w:tcW w:w="9714" w:type="dxa"/>
            <w:tcBorders>
              <w:left w:val="single" w:sz="4" w:space="0" w:color="000000"/>
              <w:bottom w:val="single" w:sz="4" w:space="0" w:color="000000"/>
              <w:right w:val="single" w:sz="4" w:space="0" w:color="000000"/>
            </w:tcBorders>
          </w:tcPr>
          <w:p w14:paraId="1AECD10D" w14:textId="1A3C5AF7" w:rsidR="00533984" w:rsidRPr="0082420A" w:rsidRDefault="00533984" w:rsidP="00CD16C7">
            <w:pPr>
              <w:spacing w:before="40" w:after="40"/>
              <w:rPr>
                <w:sz w:val="18"/>
              </w:rPr>
            </w:pPr>
            <w:r w:rsidRPr="0082420A">
              <w:rPr>
                <w:sz w:val="18"/>
              </w:rPr>
              <w:t xml:space="preserve">Das </w:t>
            </w:r>
            <w:r w:rsidR="00B74284">
              <w:rPr>
                <w:sz w:val="18"/>
              </w:rPr>
              <w:t>übergeordnete Z</w:t>
            </w:r>
            <w:r w:rsidR="001B7ACE">
              <w:rPr>
                <w:sz w:val="18"/>
              </w:rPr>
              <w:t>iel ist</w:t>
            </w:r>
            <w:r w:rsidRPr="0082420A">
              <w:rPr>
                <w:sz w:val="18"/>
              </w:rPr>
              <w:t>, die</w:t>
            </w:r>
            <w:r w:rsidR="00CD16C7" w:rsidRPr="0082420A">
              <w:rPr>
                <w:sz w:val="18"/>
              </w:rPr>
              <w:t xml:space="preserve"> Gesundheits- und Lebensumstände der</w:t>
            </w:r>
            <w:r w:rsidRPr="0082420A">
              <w:rPr>
                <w:sz w:val="18"/>
              </w:rPr>
              <w:t xml:space="preserve"> </w:t>
            </w:r>
            <w:r w:rsidR="00B74284">
              <w:rPr>
                <w:sz w:val="18"/>
              </w:rPr>
              <w:t xml:space="preserve">Bevölkerung in 8 </w:t>
            </w:r>
            <w:r w:rsidR="00CD16C7" w:rsidRPr="0082420A">
              <w:rPr>
                <w:sz w:val="18"/>
              </w:rPr>
              <w:t>Gemeinden im Bezirk Sapa</w:t>
            </w:r>
            <w:r w:rsidR="00B246DC">
              <w:rPr>
                <w:sz w:val="18"/>
              </w:rPr>
              <w:t>-</w:t>
            </w:r>
            <w:r w:rsidR="00CD16C7" w:rsidRPr="0082420A">
              <w:rPr>
                <w:sz w:val="18"/>
              </w:rPr>
              <w:t>haqui durch den Zugang zu</w:t>
            </w:r>
            <w:r w:rsidRPr="0082420A">
              <w:rPr>
                <w:sz w:val="18"/>
              </w:rPr>
              <w:t xml:space="preserve"> sauberem Trinkwasser zu verbessern.</w:t>
            </w:r>
            <w:r w:rsidR="00346D69" w:rsidRPr="0082420A">
              <w:rPr>
                <w:sz w:val="18"/>
              </w:rPr>
              <w:t xml:space="preserve"> </w:t>
            </w:r>
            <w:r w:rsidR="00346D69">
              <w:rPr>
                <w:sz w:val="18"/>
              </w:rPr>
              <w:t xml:space="preserve">Dazu verfolgt </w:t>
            </w:r>
            <w:r w:rsidR="001B7ACE">
              <w:rPr>
                <w:sz w:val="18"/>
              </w:rPr>
              <w:t>das Projekt</w:t>
            </w:r>
            <w:r w:rsidR="00346D69">
              <w:rPr>
                <w:sz w:val="18"/>
              </w:rPr>
              <w:t xml:space="preserve"> 3 spezifischen Ziele:</w:t>
            </w:r>
          </w:p>
          <w:p w14:paraId="2ACBC43C" w14:textId="205B34B1" w:rsidR="00CD16C7" w:rsidRPr="0082420A" w:rsidRDefault="008C6A12" w:rsidP="00B74284">
            <w:pPr>
              <w:pStyle w:val="ListParagraph"/>
              <w:numPr>
                <w:ilvl w:val="0"/>
                <w:numId w:val="5"/>
              </w:numPr>
              <w:spacing w:before="40" w:after="40"/>
              <w:ind w:left="322" w:hanging="322"/>
              <w:contextualSpacing w:val="0"/>
              <w:rPr>
                <w:sz w:val="18"/>
              </w:rPr>
            </w:pPr>
            <w:r w:rsidRPr="0082420A">
              <w:rPr>
                <w:sz w:val="18"/>
              </w:rPr>
              <w:t xml:space="preserve">Verbesserung der Wasserversorgung durch </w:t>
            </w:r>
            <w:r w:rsidR="00CD16C7" w:rsidRPr="0082420A">
              <w:rPr>
                <w:sz w:val="18"/>
              </w:rPr>
              <w:t>Einrichten von Trinkwasser-,</w:t>
            </w:r>
            <w:r w:rsidR="00533984" w:rsidRPr="0082420A">
              <w:rPr>
                <w:sz w:val="18"/>
              </w:rPr>
              <w:t xml:space="preserve"> </w:t>
            </w:r>
            <w:r w:rsidR="00CD16C7" w:rsidRPr="0082420A">
              <w:rPr>
                <w:sz w:val="18"/>
              </w:rPr>
              <w:t>Regenwasser</w:t>
            </w:r>
            <w:r w:rsidR="00533984" w:rsidRPr="0082420A">
              <w:rPr>
                <w:sz w:val="18"/>
              </w:rPr>
              <w:t>sammel- und Gravitäts</w:t>
            </w:r>
            <w:r w:rsidR="003969BB">
              <w:rPr>
                <w:sz w:val="18"/>
              </w:rPr>
              <w:t>-</w:t>
            </w:r>
            <w:r w:rsidR="00533984" w:rsidRPr="0082420A">
              <w:rPr>
                <w:sz w:val="18"/>
              </w:rPr>
              <w:t>systeme in</w:t>
            </w:r>
            <w:r w:rsidR="003969BB">
              <w:rPr>
                <w:sz w:val="18"/>
              </w:rPr>
              <w:t>kl.</w:t>
            </w:r>
            <w:r w:rsidR="00CD16C7" w:rsidRPr="0082420A">
              <w:rPr>
                <w:sz w:val="18"/>
              </w:rPr>
              <w:t xml:space="preserve"> Hausanschluss. </w:t>
            </w:r>
            <w:r w:rsidR="00533984" w:rsidRPr="0082420A">
              <w:rPr>
                <w:sz w:val="18"/>
              </w:rPr>
              <w:t xml:space="preserve">Fertigstellung ist auf Projektende </w:t>
            </w:r>
            <w:r w:rsidRPr="0082420A">
              <w:rPr>
                <w:sz w:val="18"/>
              </w:rPr>
              <w:t>(</w:t>
            </w:r>
            <w:r w:rsidR="00533984" w:rsidRPr="0082420A">
              <w:rPr>
                <w:sz w:val="18"/>
              </w:rPr>
              <w:t>13.12.2017</w:t>
            </w:r>
            <w:r w:rsidRPr="0082420A">
              <w:rPr>
                <w:sz w:val="18"/>
              </w:rPr>
              <w:t>)</w:t>
            </w:r>
            <w:r w:rsidR="00533984" w:rsidRPr="0082420A">
              <w:rPr>
                <w:sz w:val="18"/>
              </w:rPr>
              <w:t xml:space="preserve"> festgelegt und soll durch </w:t>
            </w:r>
            <w:r w:rsidR="00CD16C7" w:rsidRPr="0082420A">
              <w:rPr>
                <w:sz w:val="18"/>
              </w:rPr>
              <w:t>Evaluation</w:t>
            </w:r>
            <w:r w:rsidR="00533984" w:rsidRPr="0082420A">
              <w:rPr>
                <w:sz w:val="18"/>
              </w:rPr>
              <w:t xml:space="preserve"> </w:t>
            </w:r>
            <w:r w:rsidR="00E538B3">
              <w:rPr>
                <w:sz w:val="18"/>
              </w:rPr>
              <w:t>vor Ort (</w:t>
            </w:r>
            <w:r w:rsidR="003969BB">
              <w:rPr>
                <w:sz w:val="18"/>
              </w:rPr>
              <w:t>Wassermenge/</w:t>
            </w:r>
            <w:r w:rsidR="00CD16C7" w:rsidRPr="0082420A">
              <w:rPr>
                <w:sz w:val="18"/>
              </w:rPr>
              <w:t>-qualität, Fotografien,</w:t>
            </w:r>
            <w:r w:rsidR="00533984" w:rsidRPr="0082420A">
              <w:rPr>
                <w:sz w:val="18"/>
              </w:rPr>
              <w:t xml:space="preserve"> und </w:t>
            </w:r>
            <w:r w:rsidR="00CD16C7" w:rsidRPr="0082420A">
              <w:rPr>
                <w:sz w:val="18"/>
              </w:rPr>
              <w:t>Berichterstattung der Partnerorganisation</w:t>
            </w:r>
            <w:r w:rsidR="00E538B3">
              <w:rPr>
                <w:sz w:val="18"/>
              </w:rPr>
              <w:t>)</w:t>
            </w:r>
            <w:r w:rsidR="00CD16C7" w:rsidRPr="0082420A">
              <w:rPr>
                <w:sz w:val="18"/>
              </w:rPr>
              <w:t xml:space="preserve"> </w:t>
            </w:r>
            <w:r w:rsidR="00533984" w:rsidRPr="0082420A">
              <w:rPr>
                <w:sz w:val="18"/>
              </w:rPr>
              <w:t>gemessen werden.</w:t>
            </w:r>
          </w:p>
          <w:p w14:paraId="2CFFCAEB" w14:textId="1B49BC00" w:rsidR="008C6A12" w:rsidRPr="0082420A" w:rsidRDefault="00CD16C7" w:rsidP="00B74284">
            <w:pPr>
              <w:pStyle w:val="ListParagraph"/>
              <w:numPr>
                <w:ilvl w:val="0"/>
                <w:numId w:val="5"/>
              </w:numPr>
              <w:spacing w:before="40" w:after="40"/>
              <w:ind w:left="322" w:hanging="322"/>
              <w:contextualSpacing w:val="0"/>
              <w:rPr>
                <w:sz w:val="18"/>
              </w:rPr>
            </w:pPr>
            <w:r w:rsidRPr="0082420A">
              <w:rPr>
                <w:sz w:val="18"/>
              </w:rPr>
              <w:t xml:space="preserve">Langfristige Sicherung der Wasserversorgung durch </w:t>
            </w:r>
            <w:r w:rsidR="00533984" w:rsidRPr="0082420A">
              <w:rPr>
                <w:sz w:val="18"/>
              </w:rPr>
              <w:t xml:space="preserve">Einbinden der lokalen Bevölkerung in Erstellung, Unterhalt und Verwaltung und die Erstellung von Trinkwasserkomitees. Das </w:t>
            </w:r>
            <w:r w:rsidR="00E36A56" w:rsidRPr="0082420A">
              <w:rPr>
                <w:sz w:val="18"/>
              </w:rPr>
              <w:t xml:space="preserve">Erreichen </w:t>
            </w:r>
            <w:r w:rsidR="00533984" w:rsidRPr="0082420A">
              <w:rPr>
                <w:sz w:val="18"/>
              </w:rPr>
              <w:t xml:space="preserve">dieses Ziel wird durch </w:t>
            </w:r>
            <w:r w:rsidRPr="0082420A">
              <w:rPr>
                <w:sz w:val="18"/>
              </w:rPr>
              <w:t>Te</w:t>
            </w:r>
            <w:r w:rsidR="00533984" w:rsidRPr="0082420A">
              <w:rPr>
                <w:sz w:val="18"/>
              </w:rPr>
              <w:t>ilnehmer</w:t>
            </w:r>
            <w:r w:rsidR="00B74284">
              <w:rPr>
                <w:sz w:val="18"/>
              </w:rPr>
              <w:t>-</w:t>
            </w:r>
            <w:r w:rsidR="00533984" w:rsidRPr="0082420A">
              <w:rPr>
                <w:sz w:val="18"/>
              </w:rPr>
              <w:t xml:space="preserve">Innenliste von Treffen und </w:t>
            </w:r>
            <w:r w:rsidRPr="0082420A">
              <w:rPr>
                <w:sz w:val="18"/>
              </w:rPr>
              <w:t>Berichterstattung der Partnerorganisation</w:t>
            </w:r>
            <w:r w:rsidR="00533984" w:rsidRPr="0082420A">
              <w:rPr>
                <w:sz w:val="18"/>
              </w:rPr>
              <w:t xml:space="preserve"> gemessen</w:t>
            </w:r>
            <w:r w:rsidR="00E36A56" w:rsidRPr="0082420A">
              <w:rPr>
                <w:sz w:val="18"/>
              </w:rPr>
              <w:t>.</w:t>
            </w:r>
            <w:r w:rsidR="008C6A12" w:rsidRPr="0082420A">
              <w:rPr>
                <w:sz w:val="18"/>
              </w:rPr>
              <w:t xml:space="preserve"> Die Erstellung der Trinkwasser</w:t>
            </w:r>
            <w:r w:rsidR="00B74284">
              <w:rPr>
                <w:sz w:val="18"/>
              </w:rPr>
              <w:t>-</w:t>
            </w:r>
            <w:r w:rsidR="00330AF9">
              <w:rPr>
                <w:sz w:val="18"/>
              </w:rPr>
              <w:t>komi</w:t>
            </w:r>
            <w:r w:rsidR="008C6A12" w:rsidRPr="0082420A">
              <w:rPr>
                <w:sz w:val="18"/>
              </w:rPr>
              <w:t xml:space="preserve">tees sowie der Ausbildungsmassnahmen ist auf Projektende terminiert. Durch das langfristige Engagement der Partner vor Ort </w:t>
            </w:r>
            <w:r w:rsidR="00346D69">
              <w:rPr>
                <w:sz w:val="18"/>
              </w:rPr>
              <w:t>soll das Funktionieren der Komi</w:t>
            </w:r>
            <w:r w:rsidR="008C6A12" w:rsidRPr="0082420A">
              <w:rPr>
                <w:sz w:val="18"/>
              </w:rPr>
              <w:t>te</w:t>
            </w:r>
            <w:r w:rsidR="00B219FC">
              <w:rPr>
                <w:sz w:val="18"/>
              </w:rPr>
              <w:t>e</w:t>
            </w:r>
            <w:r w:rsidR="008C6A12" w:rsidRPr="0082420A">
              <w:rPr>
                <w:sz w:val="18"/>
              </w:rPr>
              <w:t xml:space="preserve">s auch nach Projektende sichergestellt werden. </w:t>
            </w:r>
          </w:p>
          <w:p w14:paraId="087EE569" w14:textId="2A35A8AF" w:rsidR="008F391E" w:rsidRPr="00E538B3" w:rsidRDefault="008C6A12" w:rsidP="00B74284">
            <w:pPr>
              <w:pStyle w:val="ListParagraph"/>
              <w:numPr>
                <w:ilvl w:val="0"/>
                <w:numId w:val="5"/>
              </w:numPr>
              <w:spacing w:before="40" w:after="40"/>
              <w:ind w:left="322" w:hanging="322"/>
              <w:contextualSpacing w:val="0"/>
              <w:rPr>
                <w:sz w:val="18"/>
              </w:rPr>
            </w:pPr>
            <w:r w:rsidRPr="00E538B3">
              <w:rPr>
                <w:sz w:val="18"/>
              </w:rPr>
              <w:t>Verbesserung der Hygiene</w:t>
            </w:r>
            <w:r w:rsidR="00B74284">
              <w:rPr>
                <w:sz w:val="18"/>
              </w:rPr>
              <w:t>praktiken und Verminderung von h</w:t>
            </w:r>
            <w:r w:rsidRPr="00E538B3">
              <w:rPr>
                <w:sz w:val="18"/>
              </w:rPr>
              <w:t>ygi</w:t>
            </w:r>
            <w:r w:rsidR="00B74284">
              <w:rPr>
                <w:sz w:val="18"/>
              </w:rPr>
              <w:t xml:space="preserve">enebedingten Krankheiten durch </w:t>
            </w:r>
            <w:r w:rsidRPr="00E538B3">
              <w:rPr>
                <w:sz w:val="18"/>
              </w:rPr>
              <w:t xml:space="preserve">Sensibilisierung der Bevölkerung, insbesondere von Schulkindern, </w:t>
            </w:r>
            <w:r w:rsidR="00B74284" w:rsidRPr="00E538B3">
              <w:rPr>
                <w:sz w:val="18"/>
              </w:rPr>
              <w:t>in</w:t>
            </w:r>
            <w:r w:rsidRPr="00E538B3">
              <w:rPr>
                <w:sz w:val="18"/>
              </w:rPr>
              <w:t xml:space="preserve"> Bezug </w:t>
            </w:r>
            <w:r w:rsidR="008F391E" w:rsidRPr="00E538B3">
              <w:rPr>
                <w:sz w:val="18"/>
              </w:rPr>
              <w:t xml:space="preserve">auf hygienerelevante Praktik. </w:t>
            </w:r>
            <w:r w:rsidR="00301D4C">
              <w:rPr>
                <w:sz w:val="18"/>
              </w:rPr>
              <w:t>Dies</w:t>
            </w:r>
            <w:r w:rsidR="00BA0B5A" w:rsidRPr="00E538B3">
              <w:rPr>
                <w:sz w:val="18"/>
              </w:rPr>
              <w:t xml:space="preserve"> soll durch die Überprüfung der KAP</w:t>
            </w:r>
            <w:r w:rsidR="00346D69" w:rsidRPr="00E538B3">
              <w:rPr>
                <w:sz w:val="18"/>
              </w:rPr>
              <w:t xml:space="preserve"> (Knowledge, Attitude, Practice)</w:t>
            </w:r>
            <w:r w:rsidR="00BA0B5A" w:rsidRPr="00E538B3">
              <w:rPr>
                <w:sz w:val="18"/>
              </w:rPr>
              <w:t>,</w:t>
            </w:r>
            <w:r w:rsidR="00346D69" w:rsidRPr="00E538B3">
              <w:rPr>
                <w:sz w:val="18"/>
              </w:rPr>
              <w:t xml:space="preserve"> E</w:t>
            </w:r>
            <w:r w:rsidR="008F391E" w:rsidRPr="00E538B3">
              <w:rPr>
                <w:sz w:val="18"/>
              </w:rPr>
              <w:t xml:space="preserve">valuation vor Ort, </w:t>
            </w:r>
            <w:r w:rsidR="00BA0B5A" w:rsidRPr="00E538B3">
              <w:rPr>
                <w:sz w:val="18"/>
              </w:rPr>
              <w:t xml:space="preserve">TeilnehmerInnenliste von Treffen, sowie die Berichterstattung der Partnerorganisation gemessen werden. </w:t>
            </w:r>
            <w:r w:rsidR="008F391E" w:rsidRPr="00E538B3">
              <w:rPr>
                <w:sz w:val="18"/>
              </w:rPr>
              <w:t>D</w:t>
            </w:r>
            <w:r w:rsidR="00BA0B5A" w:rsidRPr="00E538B3">
              <w:rPr>
                <w:sz w:val="18"/>
              </w:rPr>
              <w:t xml:space="preserve">as Messen von Gewohnheitsänderungen und Krankheitsverbreitungen </w:t>
            </w:r>
            <w:r w:rsidR="008F391E" w:rsidRPr="00E538B3">
              <w:rPr>
                <w:sz w:val="18"/>
              </w:rPr>
              <w:t xml:space="preserve">ist </w:t>
            </w:r>
            <w:r w:rsidR="00BA0B5A" w:rsidRPr="00E538B3">
              <w:rPr>
                <w:sz w:val="18"/>
              </w:rPr>
              <w:t xml:space="preserve">aufwendiger als </w:t>
            </w:r>
            <w:r w:rsidR="008F391E" w:rsidRPr="00E538B3">
              <w:rPr>
                <w:sz w:val="18"/>
              </w:rPr>
              <w:t>bei den übrigen</w:t>
            </w:r>
            <w:r w:rsidR="00301D4C">
              <w:rPr>
                <w:sz w:val="18"/>
              </w:rPr>
              <w:t xml:space="preserve"> K</w:t>
            </w:r>
            <w:r w:rsidR="00BA0B5A" w:rsidRPr="00E538B3">
              <w:rPr>
                <w:sz w:val="18"/>
              </w:rPr>
              <w:t>omponenten. Dem soll durch das langfristige Engagement von Caritas Corocoro</w:t>
            </w:r>
            <w:r w:rsidR="004C472D" w:rsidRPr="00E538B3">
              <w:rPr>
                <w:sz w:val="18"/>
              </w:rPr>
              <w:t xml:space="preserve"> und de</w:t>
            </w:r>
            <w:r w:rsidR="00301D4C">
              <w:rPr>
                <w:sz w:val="18"/>
              </w:rPr>
              <w:t>ren entsprechende Erfahrung/</w:t>
            </w:r>
            <w:r w:rsidR="004C472D" w:rsidRPr="00E538B3">
              <w:rPr>
                <w:sz w:val="18"/>
              </w:rPr>
              <w:t>Methoden</w:t>
            </w:r>
            <w:r w:rsidR="00BA0B5A" w:rsidRPr="00E538B3">
              <w:rPr>
                <w:sz w:val="18"/>
              </w:rPr>
              <w:t xml:space="preserve"> Rechnung getragen werden. </w:t>
            </w:r>
          </w:p>
          <w:p w14:paraId="38905C35" w14:textId="6F583010" w:rsidR="001423CF" w:rsidRDefault="00E210B5" w:rsidP="008F391E">
            <w:pPr>
              <w:spacing w:before="40" w:after="40"/>
              <w:rPr>
                <w:sz w:val="18"/>
              </w:rPr>
            </w:pPr>
            <w:r w:rsidRPr="0082420A">
              <w:rPr>
                <w:sz w:val="18"/>
              </w:rPr>
              <w:t xml:space="preserve">Die </w:t>
            </w:r>
            <w:r w:rsidR="00CC4C6C">
              <w:rPr>
                <w:sz w:val="18"/>
              </w:rPr>
              <w:t>Programmverantwortliche von Car</w:t>
            </w:r>
            <w:r w:rsidRPr="0082420A">
              <w:rPr>
                <w:sz w:val="18"/>
              </w:rPr>
              <w:t>i</w:t>
            </w:r>
            <w:r w:rsidR="00CC4C6C">
              <w:rPr>
                <w:sz w:val="18"/>
              </w:rPr>
              <w:t>t</w:t>
            </w:r>
            <w:r w:rsidRPr="0082420A">
              <w:rPr>
                <w:sz w:val="18"/>
              </w:rPr>
              <w:t>a</w:t>
            </w:r>
            <w:r w:rsidR="00B219FC">
              <w:rPr>
                <w:sz w:val="18"/>
              </w:rPr>
              <w:t>s</w:t>
            </w:r>
            <w:r w:rsidRPr="0082420A">
              <w:rPr>
                <w:sz w:val="18"/>
              </w:rPr>
              <w:t xml:space="preserve"> Schweiz besucht das Projekt mindestens einmal jähr</w:t>
            </w:r>
            <w:r w:rsidR="008F391E">
              <w:rPr>
                <w:sz w:val="18"/>
              </w:rPr>
              <w:t>lich, die Koordinatorin dreimal</w:t>
            </w:r>
            <w:r w:rsidRPr="0082420A">
              <w:rPr>
                <w:sz w:val="18"/>
              </w:rPr>
              <w:t xml:space="preserve">. Der Vertrag zwischen Caritas Schweiz und Corocoro sieht einen kurzen Halbjahres-, einen </w:t>
            </w:r>
            <w:r w:rsidR="00B219FC" w:rsidRPr="0082420A">
              <w:rPr>
                <w:sz w:val="18"/>
              </w:rPr>
              <w:t>ausführlichen</w:t>
            </w:r>
            <w:r w:rsidRPr="0082420A">
              <w:rPr>
                <w:sz w:val="18"/>
              </w:rPr>
              <w:t xml:space="preserve"> Jahres- und Schlussbericht vor. Das Projekt wird gegen Ende 201</w:t>
            </w:r>
            <w:r w:rsidR="00E538B3">
              <w:rPr>
                <w:sz w:val="18"/>
              </w:rPr>
              <w:t>6</w:t>
            </w:r>
            <w:r w:rsidRPr="0082420A">
              <w:rPr>
                <w:sz w:val="18"/>
              </w:rPr>
              <w:t xml:space="preserve"> mit einer begleite</w:t>
            </w:r>
            <w:r w:rsidR="00225F76">
              <w:rPr>
                <w:sz w:val="18"/>
              </w:rPr>
              <w:t>ten Selbstevaluation evaluiert.</w:t>
            </w:r>
          </w:p>
          <w:p w14:paraId="510357C2" w14:textId="45840E92" w:rsidR="00CA1DB7" w:rsidRPr="00CA1DB7" w:rsidRDefault="00225F76" w:rsidP="00CA1DB7">
            <w:pPr>
              <w:spacing w:before="40" w:after="40"/>
              <w:rPr>
                <w:sz w:val="18"/>
              </w:rPr>
            </w:pPr>
            <w:r>
              <w:rPr>
                <w:sz w:val="18"/>
              </w:rPr>
              <w:t>Zur Messung der</w:t>
            </w:r>
            <w:r w:rsidR="002736B6">
              <w:rPr>
                <w:sz w:val="18"/>
              </w:rPr>
              <w:t xml:space="preserve"> Ver</w:t>
            </w:r>
            <w:r>
              <w:rPr>
                <w:sz w:val="18"/>
              </w:rPr>
              <w:t>ha</w:t>
            </w:r>
            <w:r w:rsidR="002736B6">
              <w:rPr>
                <w:sz w:val="18"/>
              </w:rPr>
              <w:t>lt</w:t>
            </w:r>
            <w:r w:rsidR="00CC4C6C">
              <w:rPr>
                <w:sz w:val="18"/>
              </w:rPr>
              <w:t>en</w:t>
            </w:r>
            <w:r w:rsidR="002736B6">
              <w:rPr>
                <w:sz w:val="18"/>
              </w:rPr>
              <w:t xml:space="preserve">sänderung sind in </w:t>
            </w:r>
            <w:r w:rsidR="00CA1DB7" w:rsidRPr="00CA1DB7">
              <w:rPr>
                <w:sz w:val="18"/>
              </w:rPr>
              <w:t xml:space="preserve">Folgeprojekten die </w:t>
            </w:r>
            <w:r>
              <w:rPr>
                <w:sz w:val="18"/>
              </w:rPr>
              <w:t>Komponenten „Infrastruktur“/</w:t>
            </w:r>
            <w:r w:rsidR="00CA1DB7" w:rsidRPr="00CA1DB7">
              <w:rPr>
                <w:sz w:val="18"/>
              </w:rPr>
              <w:t>„Soziales“ vorgesehen</w:t>
            </w:r>
            <w:r w:rsidR="00CC4C6C">
              <w:rPr>
                <w:sz w:val="18"/>
              </w:rPr>
              <w:t>. In diesen sollen</w:t>
            </w:r>
            <w:r w:rsidR="00CA1DB7" w:rsidRPr="00CA1DB7">
              <w:rPr>
                <w:sz w:val="18"/>
              </w:rPr>
              <w:t xml:space="preserve"> Mängel im Betrieb und im Funktionieren der Wasserkomitees eruier</w:t>
            </w:r>
            <w:r w:rsidR="00CC4C6C">
              <w:rPr>
                <w:sz w:val="18"/>
              </w:rPr>
              <w:t xml:space="preserve">t werden. Damit sollen </w:t>
            </w:r>
            <w:r w:rsidR="00CA1DB7" w:rsidRPr="00CA1DB7">
              <w:rPr>
                <w:sz w:val="18"/>
              </w:rPr>
              <w:t>die</w:t>
            </w:r>
            <w:r w:rsidR="00CC4C6C">
              <w:rPr>
                <w:sz w:val="18"/>
              </w:rPr>
              <w:t xml:space="preserve"> Kompetenzen der</w:t>
            </w:r>
            <w:r w:rsidR="00CA1DB7" w:rsidRPr="00CA1DB7">
              <w:rPr>
                <w:sz w:val="18"/>
              </w:rPr>
              <w:t xml:space="preserve"> Komitees für die Administration, den Betrieb und den Unterhalt </w:t>
            </w:r>
            <w:r w:rsidR="00CC4C6C">
              <w:rPr>
                <w:sz w:val="18"/>
              </w:rPr>
              <w:t>kontinuierlich verbessert</w:t>
            </w:r>
            <w:r w:rsidR="00CA1DB7" w:rsidRPr="00CA1DB7">
              <w:rPr>
                <w:sz w:val="18"/>
              </w:rPr>
              <w:t xml:space="preserve"> werden.</w:t>
            </w:r>
          </w:p>
          <w:p w14:paraId="2F2D34FA" w14:textId="762FD0BA" w:rsidR="00CA1DB7" w:rsidRPr="00CA1DB7" w:rsidRDefault="00CC4C6C" w:rsidP="00CA1DB7">
            <w:pPr>
              <w:spacing w:before="40" w:after="40"/>
              <w:rPr>
                <w:sz w:val="18"/>
              </w:rPr>
            </w:pPr>
            <w:r>
              <w:rPr>
                <w:sz w:val="18"/>
              </w:rPr>
              <w:t>Die</w:t>
            </w:r>
            <w:r w:rsidR="002736B6">
              <w:rPr>
                <w:sz w:val="18"/>
              </w:rPr>
              <w:t xml:space="preserve"> </w:t>
            </w:r>
            <w:r w:rsidR="00CA1DB7" w:rsidRPr="00CA1DB7">
              <w:rPr>
                <w:sz w:val="18"/>
              </w:rPr>
              <w:t xml:space="preserve">Verbesserung der Gesundheitssituation der begünstigten Gemeindemitglieder </w:t>
            </w:r>
            <w:r w:rsidR="00DE2103">
              <w:rPr>
                <w:sz w:val="18"/>
              </w:rPr>
              <w:t>wird in K</w:t>
            </w:r>
            <w:r>
              <w:rPr>
                <w:sz w:val="18"/>
              </w:rPr>
              <w:t xml:space="preserve">ooperation mit den </w:t>
            </w:r>
            <w:r w:rsidR="00CA1DB7" w:rsidRPr="00CA1DB7">
              <w:rPr>
                <w:sz w:val="18"/>
              </w:rPr>
              <w:t>Komitees</w:t>
            </w:r>
            <w:r w:rsidR="00DE2103">
              <w:rPr>
                <w:sz w:val="18"/>
              </w:rPr>
              <w:t xml:space="preserve"> (durch </w:t>
            </w:r>
            <w:r w:rsidR="00DE2103" w:rsidRPr="00DE2103">
              <w:rPr>
                <w:sz w:val="18"/>
              </w:rPr>
              <w:t>Gesundheitsverantwortlichen</w:t>
            </w:r>
            <w:r w:rsidR="00DE2103">
              <w:rPr>
                <w:sz w:val="18"/>
              </w:rPr>
              <w:t>)</w:t>
            </w:r>
            <w:r w:rsidR="00CA1DB7" w:rsidRPr="00CA1DB7">
              <w:rPr>
                <w:sz w:val="18"/>
              </w:rPr>
              <w:t xml:space="preserve"> sowie de</w:t>
            </w:r>
            <w:r w:rsidR="00DE2103">
              <w:rPr>
                <w:sz w:val="18"/>
              </w:rPr>
              <w:t>m regionalen Gesundheitszentrum (Erfassung</w:t>
            </w:r>
            <w:r w:rsidR="00DE2103" w:rsidRPr="00DE2103">
              <w:rPr>
                <w:sz w:val="18"/>
              </w:rPr>
              <w:t xml:space="preserve"> sämtliche</w:t>
            </w:r>
            <w:r w:rsidR="00DE2103">
              <w:rPr>
                <w:sz w:val="18"/>
              </w:rPr>
              <w:t>r</w:t>
            </w:r>
            <w:r w:rsidR="00DE2103" w:rsidRPr="00DE2103">
              <w:rPr>
                <w:sz w:val="18"/>
              </w:rPr>
              <w:t xml:space="preserve"> Daten der erkrankten Gemeindemitglieder und Statistik über die Gesundheitssituation der Gemeinden</w:t>
            </w:r>
            <w:r w:rsidR="00DE2103">
              <w:rPr>
                <w:sz w:val="18"/>
              </w:rPr>
              <w:t>) gemessen.</w:t>
            </w:r>
          </w:p>
          <w:p w14:paraId="2D7E8F08" w14:textId="091ABBE5" w:rsidR="00CA1DB7" w:rsidRPr="0082420A" w:rsidRDefault="00CA1DB7" w:rsidP="002736B6">
            <w:pPr>
              <w:spacing w:before="40" w:after="40"/>
              <w:rPr>
                <w:sz w:val="18"/>
              </w:rPr>
            </w:pPr>
            <w:r>
              <w:rPr>
                <w:sz w:val="18"/>
              </w:rPr>
              <w:t>Um das</w:t>
            </w:r>
            <w:r w:rsidRPr="00CA1DB7">
              <w:rPr>
                <w:sz w:val="18"/>
              </w:rPr>
              <w:t xml:space="preserve"> Funktionieren der Gemeinde- und Schulkomitees langfristig </w:t>
            </w:r>
            <w:r>
              <w:rPr>
                <w:sz w:val="18"/>
              </w:rPr>
              <w:t xml:space="preserve">zu überwachen </w:t>
            </w:r>
            <w:r w:rsidRPr="00CA1DB7">
              <w:rPr>
                <w:sz w:val="18"/>
              </w:rPr>
              <w:t xml:space="preserve">wird die Zusammenarbeit mit den Munizipien angestrebt und ein Fokus auf deren </w:t>
            </w:r>
            <w:r w:rsidR="002736B6">
              <w:rPr>
                <w:sz w:val="18"/>
              </w:rPr>
              <w:t>Organisationsentwicklung gelegt</w:t>
            </w:r>
            <w:r w:rsidRPr="00CA1DB7">
              <w:rPr>
                <w:sz w:val="18"/>
              </w:rPr>
              <w:t>. Diesbezüglich erhalten die Munizipien entsprechende Werkzeuge und Material, um das Monitoring sicherzustellen.</w:t>
            </w:r>
          </w:p>
        </w:tc>
      </w:tr>
      <w:tr w:rsidR="009B3753" w:rsidRPr="0082420A" w14:paraId="31AF5025" w14:textId="77777777" w:rsidTr="00B74284">
        <w:trPr>
          <w:jc w:val="center"/>
        </w:trPr>
        <w:tc>
          <w:tcPr>
            <w:tcW w:w="9714" w:type="dxa"/>
            <w:tcBorders>
              <w:top w:val="single" w:sz="4" w:space="0" w:color="000000"/>
              <w:left w:val="single" w:sz="4" w:space="0" w:color="000000"/>
              <w:bottom w:val="single" w:sz="4" w:space="0" w:color="000000"/>
              <w:right w:val="single" w:sz="4" w:space="0" w:color="000000"/>
            </w:tcBorders>
            <w:shd w:val="clear" w:color="auto" w:fill="F3F3F3"/>
          </w:tcPr>
          <w:p w14:paraId="5CA143B5" w14:textId="77777777" w:rsidR="009B3753" w:rsidRPr="0082420A" w:rsidRDefault="009B3753">
            <w:pPr>
              <w:tabs>
                <w:tab w:val="left" w:pos="2592"/>
              </w:tabs>
              <w:snapToGrid w:val="0"/>
              <w:spacing w:before="40" w:after="40"/>
              <w:rPr>
                <w:b/>
                <w:sz w:val="18"/>
              </w:rPr>
            </w:pPr>
            <w:r w:rsidRPr="0082420A">
              <w:rPr>
                <w:b/>
                <w:sz w:val="18"/>
              </w:rPr>
              <w:t xml:space="preserve">3. </w:t>
            </w:r>
            <w:r w:rsidR="006354D1" w:rsidRPr="0082420A">
              <w:rPr>
                <w:b/>
                <w:sz w:val="18"/>
              </w:rPr>
              <w:t>Vorgeschlagene Ansätze</w:t>
            </w:r>
            <w:r w:rsidR="007E19FC" w:rsidRPr="0082420A">
              <w:rPr>
                <w:b/>
                <w:sz w:val="18"/>
              </w:rPr>
              <w:t xml:space="preserve"> (Umsetzung)</w:t>
            </w:r>
          </w:p>
        </w:tc>
      </w:tr>
      <w:tr w:rsidR="009B3753" w:rsidRPr="0082420A" w14:paraId="7CD4F24C" w14:textId="77777777" w:rsidTr="00B74284">
        <w:trPr>
          <w:jc w:val="center"/>
        </w:trPr>
        <w:tc>
          <w:tcPr>
            <w:tcW w:w="9714" w:type="dxa"/>
            <w:tcBorders>
              <w:left w:val="single" w:sz="4" w:space="0" w:color="000000"/>
              <w:bottom w:val="single" w:sz="4" w:space="0" w:color="000000"/>
              <w:right w:val="single" w:sz="4" w:space="0" w:color="000000"/>
            </w:tcBorders>
          </w:tcPr>
          <w:p w14:paraId="3EA58D8C" w14:textId="0E9894B1" w:rsidR="008B4A60" w:rsidRPr="008B4A60" w:rsidRDefault="008B4A60" w:rsidP="008B4A60">
            <w:pPr>
              <w:snapToGrid w:val="0"/>
              <w:spacing w:before="40" w:after="40"/>
              <w:rPr>
                <w:rFonts w:cs="Arial"/>
                <w:sz w:val="18"/>
                <w:szCs w:val="18"/>
                <w:lang w:eastAsia="en-US"/>
              </w:rPr>
            </w:pPr>
            <w:r>
              <w:rPr>
                <w:rFonts w:cs="Arial"/>
                <w:sz w:val="18"/>
                <w:szCs w:val="18"/>
                <w:lang w:eastAsia="en-US"/>
              </w:rPr>
              <w:t xml:space="preserve">Die vorgeschlagenen </w:t>
            </w:r>
            <w:r w:rsidR="00B246DC">
              <w:rPr>
                <w:rFonts w:cs="Arial"/>
                <w:sz w:val="18"/>
                <w:szCs w:val="18"/>
                <w:lang w:eastAsia="en-US"/>
              </w:rPr>
              <w:t>Ansätze sind den Z</w:t>
            </w:r>
            <w:r>
              <w:rPr>
                <w:rFonts w:cs="Arial"/>
                <w:sz w:val="18"/>
                <w:szCs w:val="18"/>
                <w:lang w:eastAsia="en-US"/>
              </w:rPr>
              <w:t>ielen entsprechend</w:t>
            </w:r>
            <w:r w:rsidR="00606718">
              <w:rPr>
                <w:rFonts w:cs="Arial"/>
                <w:sz w:val="18"/>
                <w:szCs w:val="18"/>
                <w:lang w:eastAsia="en-US"/>
              </w:rPr>
              <w:t xml:space="preserve"> und tragen technischen, sozialen, </w:t>
            </w:r>
            <w:r w:rsidR="001B7ACE">
              <w:rPr>
                <w:rFonts w:cs="Arial"/>
                <w:sz w:val="18"/>
                <w:szCs w:val="18"/>
                <w:lang w:eastAsia="en-US"/>
              </w:rPr>
              <w:t>institutionellen</w:t>
            </w:r>
            <w:r w:rsidR="00B246DC">
              <w:rPr>
                <w:rFonts w:cs="Arial"/>
                <w:sz w:val="18"/>
                <w:szCs w:val="18"/>
                <w:lang w:eastAsia="en-US"/>
              </w:rPr>
              <w:t>,</w:t>
            </w:r>
            <w:r w:rsidR="00606718">
              <w:rPr>
                <w:rFonts w:cs="Arial"/>
                <w:sz w:val="18"/>
                <w:szCs w:val="18"/>
                <w:lang w:eastAsia="en-US"/>
              </w:rPr>
              <w:t xml:space="preserve"> ökonomischen, und Wissens-Fragen Rechnung</w:t>
            </w:r>
            <w:r>
              <w:rPr>
                <w:rFonts w:cs="Arial"/>
                <w:sz w:val="18"/>
                <w:szCs w:val="18"/>
                <w:lang w:eastAsia="en-US"/>
              </w:rPr>
              <w:t>:</w:t>
            </w:r>
          </w:p>
          <w:p w14:paraId="2D8EB2FD" w14:textId="218D3106" w:rsidR="005A7310" w:rsidRPr="0028289C" w:rsidRDefault="005A7310" w:rsidP="00B246DC">
            <w:pPr>
              <w:pStyle w:val="ListParagraph"/>
              <w:numPr>
                <w:ilvl w:val="0"/>
                <w:numId w:val="6"/>
              </w:numPr>
              <w:snapToGrid w:val="0"/>
              <w:spacing w:before="40" w:after="40"/>
              <w:ind w:left="181" w:hanging="181"/>
              <w:contextualSpacing w:val="0"/>
              <w:rPr>
                <w:rFonts w:cs="Arial"/>
                <w:sz w:val="18"/>
                <w:szCs w:val="18"/>
                <w:lang w:eastAsia="en-US"/>
              </w:rPr>
            </w:pPr>
            <w:r w:rsidRPr="0028289C">
              <w:rPr>
                <w:rFonts w:cs="Arial"/>
                <w:sz w:val="18"/>
                <w:szCs w:val="18"/>
                <w:lang w:eastAsia="en-US"/>
              </w:rPr>
              <w:t>Der Bau der Wassersyste</w:t>
            </w:r>
            <w:r w:rsidR="0028289C" w:rsidRPr="0028289C">
              <w:rPr>
                <w:rFonts w:cs="Arial"/>
                <w:sz w:val="18"/>
                <w:szCs w:val="18"/>
                <w:lang w:eastAsia="en-US"/>
              </w:rPr>
              <w:t xml:space="preserve">me wird in enger Kooperation mit dem Bürgermeisteramt des Bezirks durchgeführt. </w:t>
            </w:r>
            <w:r w:rsidR="00B246DC">
              <w:rPr>
                <w:rFonts w:cs="Arial"/>
                <w:sz w:val="18"/>
                <w:szCs w:val="18"/>
                <w:lang w:eastAsia="en-US"/>
              </w:rPr>
              <w:t>Alle</w:t>
            </w:r>
            <w:r w:rsidR="0028289C" w:rsidRPr="0028289C">
              <w:rPr>
                <w:rFonts w:cs="Arial"/>
                <w:sz w:val="18"/>
                <w:szCs w:val="18"/>
                <w:lang w:eastAsia="en-US"/>
              </w:rPr>
              <w:t xml:space="preserve"> 8 Projekte sind </w:t>
            </w:r>
            <w:r w:rsidRPr="0028289C">
              <w:rPr>
                <w:rFonts w:cs="Arial"/>
                <w:sz w:val="18"/>
                <w:szCs w:val="18"/>
                <w:lang w:eastAsia="en-US"/>
              </w:rPr>
              <w:t xml:space="preserve">im operativen Jahresplan </w:t>
            </w:r>
            <w:r w:rsidR="0028289C" w:rsidRPr="0028289C">
              <w:rPr>
                <w:rFonts w:cs="Arial"/>
                <w:sz w:val="18"/>
                <w:szCs w:val="18"/>
                <w:lang w:eastAsia="en-US"/>
              </w:rPr>
              <w:t>des Amtes a</w:t>
            </w:r>
            <w:r w:rsidR="000C7F54" w:rsidRPr="0028289C">
              <w:rPr>
                <w:rFonts w:cs="Arial"/>
                <w:sz w:val="18"/>
                <w:szCs w:val="18"/>
                <w:lang w:eastAsia="en-US"/>
              </w:rPr>
              <w:t>ufgeführt</w:t>
            </w:r>
            <w:r w:rsidR="001B355E" w:rsidRPr="0028289C">
              <w:rPr>
                <w:rFonts w:cs="Arial"/>
                <w:sz w:val="18"/>
                <w:szCs w:val="18"/>
                <w:lang w:eastAsia="en-US"/>
              </w:rPr>
              <w:t xml:space="preserve"> </w:t>
            </w:r>
            <w:r w:rsidR="0028289C" w:rsidRPr="0028289C">
              <w:rPr>
                <w:rFonts w:cs="Arial"/>
                <w:sz w:val="18"/>
                <w:szCs w:val="18"/>
                <w:lang w:eastAsia="en-US"/>
              </w:rPr>
              <w:t xml:space="preserve">was Voraussetzung ist </w:t>
            </w:r>
            <w:r w:rsidR="00B246DC" w:rsidRPr="0028289C">
              <w:rPr>
                <w:rFonts w:cs="Arial"/>
                <w:sz w:val="18"/>
                <w:szCs w:val="18"/>
                <w:lang w:eastAsia="en-US"/>
              </w:rPr>
              <w:t>für</w:t>
            </w:r>
            <w:r w:rsidR="0028289C" w:rsidRPr="0028289C">
              <w:rPr>
                <w:rFonts w:cs="Arial"/>
                <w:sz w:val="18"/>
                <w:szCs w:val="18"/>
                <w:lang w:eastAsia="en-US"/>
              </w:rPr>
              <w:t xml:space="preserve"> eine Teilfinanzieru</w:t>
            </w:r>
            <w:r w:rsidR="00B246DC">
              <w:rPr>
                <w:rFonts w:cs="Arial"/>
                <w:sz w:val="18"/>
                <w:szCs w:val="18"/>
                <w:lang w:eastAsia="en-US"/>
              </w:rPr>
              <w:t>ng durch die öffentliche Hand</w:t>
            </w:r>
            <w:r w:rsidR="0028289C" w:rsidRPr="0028289C">
              <w:rPr>
                <w:rFonts w:cs="Arial"/>
                <w:sz w:val="18"/>
                <w:szCs w:val="18"/>
                <w:lang w:eastAsia="en-US"/>
              </w:rPr>
              <w:t xml:space="preserve">. Langfristig ist der Gemeindebezirk auch zuständig </w:t>
            </w:r>
            <w:r w:rsidR="00B246DC" w:rsidRPr="0028289C">
              <w:rPr>
                <w:rFonts w:cs="Arial"/>
                <w:sz w:val="18"/>
                <w:szCs w:val="18"/>
                <w:lang w:eastAsia="en-US"/>
              </w:rPr>
              <w:t>für</w:t>
            </w:r>
            <w:r w:rsidR="0028289C" w:rsidRPr="0028289C">
              <w:rPr>
                <w:rFonts w:cs="Arial"/>
                <w:sz w:val="18"/>
                <w:szCs w:val="18"/>
                <w:lang w:eastAsia="en-US"/>
              </w:rPr>
              <w:t xml:space="preserve"> Kon</w:t>
            </w:r>
            <w:r w:rsidR="003969BB">
              <w:rPr>
                <w:rFonts w:cs="Arial"/>
                <w:sz w:val="18"/>
                <w:szCs w:val="18"/>
                <w:lang w:eastAsia="en-US"/>
              </w:rPr>
              <w:t>trolle</w:t>
            </w:r>
            <w:r w:rsidR="0028289C" w:rsidRPr="0028289C">
              <w:rPr>
                <w:rFonts w:cs="Arial"/>
                <w:sz w:val="18"/>
                <w:szCs w:val="18"/>
                <w:lang w:eastAsia="en-US"/>
              </w:rPr>
              <w:t xml:space="preserve"> und Unterhalt der</w:t>
            </w:r>
            <w:r w:rsidR="0028289C">
              <w:rPr>
                <w:rFonts w:cs="Arial"/>
                <w:sz w:val="18"/>
                <w:szCs w:val="18"/>
                <w:lang w:eastAsia="en-US"/>
              </w:rPr>
              <w:t xml:space="preserve"> </w:t>
            </w:r>
            <w:r w:rsidR="0028289C" w:rsidRPr="0028289C">
              <w:rPr>
                <w:rFonts w:cs="Arial"/>
                <w:sz w:val="18"/>
                <w:szCs w:val="18"/>
                <w:lang w:eastAsia="en-US"/>
              </w:rPr>
              <w:t>Infrastruktur.</w:t>
            </w:r>
          </w:p>
          <w:p w14:paraId="6264C799" w14:textId="506D13A1" w:rsidR="000B495C" w:rsidRPr="0028289C" w:rsidRDefault="000B495C" w:rsidP="00B246DC">
            <w:pPr>
              <w:pStyle w:val="ListParagraph"/>
              <w:numPr>
                <w:ilvl w:val="0"/>
                <w:numId w:val="6"/>
              </w:numPr>
              <w:snapToGrid w:val="0"/>
              <w:spacing w:before="40" w:after="40"/>
              <w:ind w:left="181" w:hanging="181"/>
              <w:contextualSpacing w:val="0"/>
              <w:rPr>
                <w:rFonts w:cs="Arial"/>
                <w:sz w:val="18"/>
                <w:szCs w:val="18"/>
                <w:lang w:eastAsia="en-US"/>
              </w:rPr>
            </w:pPr>
            <w:r w:rsidRPr="0082420A">
              <w:rPr>
                <w:rFonts w:cs="Arial"/>
                <w:sz w:val="18"/>
                <w:szCs w:val="18"/>
                <w:lang w:eastAsia="en-US"/>
              </w:rPr>
              <w:t xml:space="preserve">Die Dorfbevölkerung ist in der Projektplanung und beim Bau </w:t>
            </w:r>
            <w:r w:rsidR="0028289C">
              <w:rPr>
                <w:rFonts w:cs="Arial"/>
                <w:sz w:val="18"/>
                <w:szCs w:val="18"/>
                <w:lang w:eastAsia="en-US"/>
              </w:rPr>
              <w:t xml:space="preserve">(Arbeitsleistung und Materialien) </w:t>
            </w:r>
            <w:r w:rsidRPr="0082420A">
              <w:rPr>
                <w:rFonts w:cs="Arial"/>
                <w:sz w:val="18"/>
                <w:szCs w:val="18"/>
                <w:lang w:eastAsia="en-US"/>
              </w:rPr>
              <w:t>un</w:t>
            </w:r>
            <w:r w:rsidR="00B75096">
              <w:rPr>
                <w:rFonts w:cs="Arial"/>
                <w:sz w:val="18"/>
                <w:szCs w:val="18"/>
                <w:lang w:eastAsia="en-US"/>
              </w:rPr>
              <w:t>d</w:t>
            </w:r>
            <w:r w:rsidRPr="0082420A">
              <w:rPr>
                <w:rFonts w:cs="Arial"/>
                <w:sz w:val="18"/>
                <w:szCs w:val="18"/>
                <w:lang w:eastAsia="en-US"/>
              </w:rPr>
              <w:t xml:space="preserve"> dem Unterhalt der W</w:t>
            </w:r>
            <w:r w:rsidR="003969BB">
              <w:rPr>
                <w:rFonts w:cs="Arial"/>
                <w:sz w:val="18"/>
                <w:szCs w:val="18"/>
                <w:lang w:eastAsia="en-US"/>
              </w:rPr>
              <w:t>asserversorgung aktiv beteiligt</w:t>
            </w:r>
            <w:r w:rsidR="0028289C">
              <w:rPr>
                <w:rFonts w:cs="Arial"/>
                <w:sz w:val="18"/>
                <w:szCs w:val="18"/>
                <w:lang w:eastAsia="en-US"/>
              </w:rPr>
              <w:t>.</w:t>
            </w:r>
          </w:p>
          <w:p w14:paraId="44EE7CED" w14:textId="07C28537" w:rsidR="003B5195" w:rsidRPr="00E538B3" w:rsidRDefault="00E03928" w:rsidP="00B246DC">
            <w:pPr>
              <w:pStyle w:val="ListParagraph"/>
              <w:numPr>
                <w:ilvl w:val="0"/>
                <w:numId w:val="6"/>
              </w:numPr>
              <w:suppressAutoHyphens w:val="0"/>
              <w:autoSpaceDE w:val="0"/>
              <w:autoSpaceDN w:val="0"/>
              <w:adjustRightInd w:val="0"/>
              <w:snapToGrid w:val="0"/>
              <w:spacing w:before="40" w:after="40"/>
              <w:ind w:left="181" w:hanging="181"/>
              <w:contextualSpacing w:val="0"/>
              <w:rPr>
                <w:rFonts w:cs="Arial"/>
                <w:sz w:val="18"/>
                <w:szCs w:val="18"/>
                <w:lang w:eastAsia="en-US"/>
              </w:rPr>
            </w:pPr>
            <w:r w:rsidRPr="0082420A">
              <w:rPr>
                <w:rFonts w:cs="Arial"/>
                <w:sz w:val="18"/>
                <w:szCs w:val="18"/>
                <w:lang w:eastAsia="en-US"/>
              </w:rPr>
              <w:t xml:space="preserve">In drei Dörfer wird aufgrund der geringen </w:t>
            </w:r>
            <w:r w:rsidR="00B67D1D" w:rsidRPr="0082420A">
              <w:rPr>
                <w:rFonts w:cs="Arial"/>
                <w:sz w:val="18"/>
                <w:szCs w:val="18"/>
                <w:lang w:eastAsia="en-US"/>
              </w:rPr>
              <w:t>Verfügbarkeit</w:t>
            </w:r>
            <w:r w:rsidRPr="0082420A">
              <w:rPr>
                <w:rFonts w:cs="Arial"/>
                <w:sz w:val="18"/>
                <w:szCs w:val="18"/>
                <w:lang w:eastAsia="en-US"/>
              </w:rPr>
              <w:t xml:space="preserve"> und Qualität</w:t>
            </w:r>
            <w:r w:rsidR="00B67D1D">
              <w:rPr>
                <w:rFonts w:cs="Arial"/>
                <w:sz w:val="18"/>
                <w:szCs w:val="18"/>
                <w:lang w:eastAsia="en-US"/>
              </w:rPr>
              <w:t xml:space="preserve"> </w:t>
            </w:r>
            <w:r w:rsidRPr="0082420A">
              <w:rPr>
                <w:rFonts w:cs="Arial"/>
                <w:sz w:val="18"/>
                <w:szCs w:val="18"/>
                <w:lang w:eastAsia="en-US"/>
              </w:rPr>
              <w:t>von Oberflächen- oder Grundwasser die Sammlung, Speicherung und</w:t>
            </w:r>
            <w:r w:rsidR="00B67D1D">
              <w:rPr>
                <w:rFonts w:cs="Arial"/>
                <w:sz w:val="18"/>
                <w:szCs w:val="18"/>
                <w:lang w:eastAsia="en-US"/>
              </w:rPr>
              <w:t xml:space="preserve"> F</w:t>
            </w:r>
            <w:r w:rsidR="00CA1DB7">
              <w:rPr>
                <w:rFonts w:cs="Arial"/>
                <w:sz w:val="18"/>
                <w:szCs w:val="18"/>
                <w:lang w:eastAsia="en-US"/>
              </w:rPr>
              <w:t>ilterung von</w:t>
            </w:r>
            <w:r w:rsidRPr="0082420A">
              <w:rPr>
                <w:rFonts w:cs="Arial"/>
                <w:sz w:val="18"/>
                <w:szCs w:val="18"/>
                <w:lang w:eastAsia="en-US"/>
              </w:rPr>
              <w:t xml:space="preserve"> </w:t>
            </w:r>
            <w:r w:rsidR="00CA1DB7">
              <w:rPr>
                <w:rFonts w:cs="Arial"/>
                <w:sz w:val="18"/>
                <w:szCs w:val="18"/>
                <w:lang w:eastAsia="en-US"/>
              </w:rPr>
              <w:t xml:space="preserve">Regenwasser </w:t>
            </w:r>
            <w:r w:rsidRPr="0082420A">
              <w:rPr>
                <w:rFonts w:cs="Arial"/>
                <w:sz w:val="18"/>
                <w:szCs w:val="18"/>
                <w:lang w:eastAsia="en-US"/>
              </w:rPr>
              <w:t>je nach Bedarf und Möglichkeiten auf Haushalts</w:t>
            </w:r>
            <w:r w:rsidR="00B67D1D">
              <w:rPr>
                <w:rFonts w:cs="Arial"/>
                <w:sz w:val="18"/>
                <w:szCs w:val="18"/>
                <w:lang w:eastAsia="en-US"/>
              </w:rPr>
              <w:t>-</w:t>
            </w:r>
            <w:r w:rsidR="000B495C" w:rsidRPr="0082420A">
              <w:rPr>
                <w:rFonts w:cs="Arial"/>
                <w:sz w:val="18"/>
                <w:szCs w:val="18"/>
                <w:lang w:eastAsia="en-US"/>
              </w:rPr>
              <w:t xml:space="preserve"> </w:t>
            </w:r>
            <w:r w:rsidRPr="0082420A">
              <w:rPr>
                <w:rFonts w:cs="Arial"/>
                <w:sz w:val="18"/>
                <w:szCs w:val="18"/>
                <w:lang w:eastAsia="en-US"/>
              </w:rPr>
              <w:t>oder</w:t>
            </w:r>
            <w:r w:rsidR="000B495C" w:rsidRPr="0082420A">
              <w:rPr>
                <w:rFonts w:cs="Arial"/>
                <w:sz w:val="18"/>
                <w:szCs w:val="18"/>
                <w:lang w:eastAsia="en-US"/>
              </w:rPr>
              <w:t xml:space="preserve"> </w:t>
            </w:r>
            <w:r w:rsidRPr="0082420A">
              <w:rPr>
                <w:rFonts w:cs="Arial"/>
                <w:sz w:val="18"/>
                <w:szCs w:val="18"/>
                <w:lang w:eastAsia="en-US"/>
              </w:rPr>
              <w:t xml:space="preserve">auf </w:t>
            </w:r>
            <w:r w:rsidRPr="0082420A">
              <w:rPr>
                <w:rFonts w:cs="Arial"/>
                <w:sz w:val="18"/>
                <w:szCs w:val="18"/>
                <w:lang w:eastAsia="en-US"/>
              </w:rPr>
              <w:lastRenderedPageBreak/>
              <w:t xml:space="preserve">Gemeindeebene, bzw. </w:t>
            </w:r>
            <w:r w:rsidR="00B246DC" w:rsidRPr="0082420A">
              <w:rPr>
                <w:rFonts w:cs="Arial"/>
                <w:sz w:val="18"/>
                <w:szCs w:val="18"/>
                <w:lang w:eastAsia="en-US"/>
              </w:rPr>
              <w:t>für</w:t>
            </w:r>
            <w:r w:rsidRPr="0082420A">
              <w:rPr>
                <w:rFonts w:cs="Arial"/>
                <w:sz w:val="18"/>
                <w:szCs w:val="18"/>
                <w:lang w:eastAsia="en-US"/>
              </w:rPr>
              <w:t xml:space="preserve"> Bildungseinrichtungen</w:t>
            </w:r>
            <w:r w:rsidR="000B495C" w:rsidRPr="0082420A">
              <w:rPr>
                <w:rFonts w:cs="Arial"/>
                <w:sz w:val="18"/>
                <w:szCs w:val="18"/>
                <w:lang w:eastAsia="en-US"/>
              </w:rPr>
              <w:t xml:space="preserve"> </w:t>
            </w:r>
            <w:r w:rsidRPr="0082420A">
              <w:rPr>
                <w:rFonts w:cs="Arial"/>
                <w:sz w:val="18"/>
                <w:szCs w:val="18"/>
                <w:lang w:eastAsia="en-US"/>
              </w:rPr>
              <w:t xml:space="preserve">vorgenommen. </w:t>
            </w:r>
            <w:r w:rsidRPr="00E538B3">
              <w:rPr>
                <w:rFonts w:cs="Arial"/>
                <w:sz w:val="18"/>
                <w:szCs w:val="18"/>
                <w:lang w:eastAsia="en-US"/>
              </w:rPr>
              <w:t xml:space="preserve">In den </w:t>
            </w:r>
            <w:r w:rsidR="00B67D1D" w:rsidRPr="00E538B3">
              <w:rPr>
                <w:rFonts w:cs="Arial"/>
                <w:sz w:val="18"/>
                <w:szCs w:val="18"/>
                <w:lang w:eastAsia="en-US"/>
              </w:rPr>
              <w:t>übrigen</w:t>
            </w:r>
            <w:r w:rsidRPr="00E538B3">
              <w:rPr>
                <w:rFonts w:cs="Arial"/>
                <w:sz w:val="18"/>
                <w:szCs w:val="18"/>
                <w:lang w:eastAsia="en-US"/>
              </w:rPr>
              <w:t xml:space="preserve"> </w:t>
            </w:r>
            <w:r w:rsidR="00B67D1D" w:rsidRPr="00E538B3">
              <w:rPr>
                <w:rFonts w:cs="Arial"/>
                <w:sz w:val="18"/>
                <w:szCs w:val="18"/>
                <w:lang w:eastAsia="en-US"/>
              </w:rPr>
              <w:t>fünf</w:t>
            </w:r>
            <w:r w:rsidRPr="00E538B3">
              <w:rPr>
                <w:rFonts w:cs="Arial"/>
                <w:sz w:val="18"/>
                <w:szCs w:val="18"/>
                <w:lang w:eastAsia="en-US"/>
              </w:rPr>
              <w:t xml:space="preserve"> Orten werden Gravitations</w:t>
            </w:r>
            <w:r w:rsidR="00B246DC">
              <w:rPr>
                <w:rFonts w:cs="Arial"/>
                <w:sz w:val="18"/>
                <w:szCs w:val="18"/>
                <w:lang w:eastAsia="en-US"/>
              </w:rPr>
              <w:t>-</w:t>
            </w:r>
            <w:r w:rsidRPr="00E538B3">
              <w:rPr>
                <w:rFonts w:cs="Arial"/>
                <w:sz w:val="18"/>
                <w:szCs w:val="18"/>
                <w:lang w:eastAsia="en-US"/>
              </w:rPr>
              <w:t>syteme</w:t>
            </w:r>
            <w:r w:rsidR="003B5195" w:rsidRPr="00E538B3">
              <w:rPr>
                <w:rFonts w:cs="Arial"/>
                <w:sz w:val="18"/>
                <w:szCs w:val="18"/>
                <w:lang w:eastAsia="en-US"/>
              </w:rPr>
              <w:t xml:space="preserve"> inklusive </w:t>
            </w:r>
            <w:r w:rsidR="00B67D1D" w:rsidRPr="00E538B3">
              <w:rPr>
                <w:rFonts w:cs="Arial"/>
                <w:sz w:val="18"/>
                <w:szCs w:val="18"/>
                <w:lang w:eastAsia="en-US"/>
              </w:rPr>
              <w:t>Hausanschlüssen</w:t>
            </w:r>
            <w:r w:rsidRPr="00E538B3">
              <w:rPr>
                <w:rFonts w:cs="Arial"/>
                <w:sz w:val="18"/>
                <w:szCs w:val="18"/>
                <w:lang w:eastAsia="en-US"/>
              </w:rPr>
              <w:t xml:space="preserve"> </w:t>
            </w:r>
            <w:r w:rsidR="003B5195" w:rsidRPr="00E538B3">
              <w:rPr>
                <w:rFonts w:cs="Arial"/>
                <w:sz w:val="18"/>
                <w:szCs w:val="18"/>
                <w:lang w:eastAsia="en-US"/>
              </w:rPr>
              <w:t xml:space="preserve">mit Zählern eingerichtet. </w:t>
            </w:r>
          </w:p>
          <w:p w14:paraId="55F3657B" w14:textId="39730B28" w:rsidR="00675AE7" w:rsidRDefault="00675AE7" w:rsidP="00B246DC">
            <w:pPr>
              <w:pStyle w:val="ListParagraph"/>
              <w:numPr>
                <w:ilvl w:val="0"/>
                <w:numId w:val="6"/>
              </w:numPr>
              <w:suppressAutoHyphens w:val="0"/>
              <w:autoSpaceDE w:val="0"/>
              <w:autoSpaceDN w:val="0"/>
              <w:adjustRightInd w:val="0"/>
              <w:snapToGrid w:val="0"/>
              <w:spacing w:before="40" w:after="40"/>
              <w:ind w:left="181" w:hanging="181"/>
              <w:contextualSpacing w:val="0"/>
              <w:rPr>
                <w:rFonts w:cs="Arial"/>
                <w:sz w:val="18"/>
                <w:szCs w:val="18"/>
                <w:lang w:eastAsia="en-US"/>
              </w:rPr>
            </w:pPr>
            <w:r w:rsidRPr="00675AE7">
              <w:rPr>
                <w:rFonts w:cs="Arial"/>
                <w:sz w:val="18"/>
                <w:szCs w:val="18"/>
                <w:lang w:eastAsia="en-US"/>
              </w:rPr>
              <w:t xml:space="preserve">Durch die Gemeindeversammlung gewählte </w:t>
            </w:r>
            <w:r w:rsidR="00E03928" w:rsidRPr="00675AE7">
              <w:rPr>
                <w:rFonts w:cs="Arial"/>
                <w:sz w:val="18"/>
                <w:szCs w:val="18"/>
                <w:lang w:eastAsia="en-US"/>
              </w:rPr>
              <w:t xml:space="preserve">Wasserkomitees organisieren die </w:t>
            </w:r>
            <w:r w:rsidR="00B67D1D" w:rsidRPr="00675AE7">
              <w:rPr>
                <w:rFonts w:cs="Arial"/>
                <w:sz w:val="18"/>
                <w:szCs w:val="18"/>
                <w:lang w:eastAsia="en-US"/>
              </w:rPr>
              <w:t>Gebührenerhebung</w:t>
            </w:r>
            <w:r w:rsidR="00E03928" w:rsidRPr="00675AE7">
              <w:rPr>
                <w:rFonts w:cs="Arial"/>
                <w:sz w:val="18"/>
                <w:szCs w:val="18"/>
                <w:lang w:eastAsia="en-US"/>
              </w:rPr>
              <w:t xml:space="preserve"> und -Verwaltung,</w:t>
            </w:r>
            <w:r w:rsidR="003B5195" w:rsidRPr="00675AE7">
              <w:rPr>
                <w:rFonts w:cs="Arial"/>
                <w:sz w:val="18"/>
                <w:szCs w:val="18"/>
                <w:lang w:eastAsia="en-US"/>
              </w:rPr>
              <w:t xml:space="preserve"> </w:t>
            </w:r>
            <w:r w:rsidR="00E03928" w:rsidRPr="00675AE7">
              <w:rPr>
                <w:rFonts w:cs="Arial"/>
                <w:sz w:val="18"/>
                <w:szCs w:val="18"/>
                <w:lang w:eastAsia="en-US"/>
              </w:rPr>
              <w:t>sowie die Instandhaltung der Wassersysteme</w:t>
            </w:r>
            <w:r>
              <w:rPr>
                <w:rFonts w:cs="Arial"/>
                <w:sz w:val="18"/>
                <w:szCs w:val="18"/>
                <w:lang w:eastAsia="en-US"/>
              </w:rPr>
              <w:t xml:space="preserve"> auf Gemeindeebene</w:t>
            </w:r>
            <w:r w:rsidR="00E03928" w:rsidRPr="00675AE7">
              <w:rPr>
                <w:rFonts w:cs="Arial"/>
                <w:sz w:val="18"/>
                <w:szCs w:val="18"/>
                <w:lang w:eastAsia="en-US"/>
              </w:rPr>
              <w:t>.</w:t>
            </w:r>
          </w:p>
          <w:p w14:paraId="2412F00B" w14:textId="1582DEE5" w:rsidR="00E03928" w:rsidRPr="00675AE7" w:rsidRDefault="00CA1DB7" w:rsidP="00B246DC">
            <w:pPr>
              <w:pStyle w:val="ListParagraph"/>
              <w:numPr>
                <w:ilvl w:val="0"/>
                <w:numId w:val="6"/>
              </w:numPr>
              <w:suppressAutoHyphens w:val="0"/>
              <w:autoSpaceDE w:val="0"/>
              <w:autoSpaceDN w:val="0"/>
              <w:adjustRightInd w:val="0"/>
              <w:snapToGrid w:val="0"/>
              <w:spacing w:before="40" w:after="40"/>
              <w:ind w:left="181" w:hanging="181"/>
              <w:contextualSpacing w:val="0"/>
              <w:rPr>
                <w:rFonts w:cs="Arial"/>
                <w:sz w:val="18"/>
                <w:szCs w:val="18"/>
                <w:lang w:eastAsia="en-US"/>
              </w:rPr>
            </w:pPr>
            <w:r w:rsidRPr="00675AE7">
              <w:rPr>
                <w:rFonts w:cs="Arial"/>
                <w:sz w:val="18"/>
                <w:szCs w:val="18"/>
                <w:lang w:eastAsia="en-US"/>
              </w:rPr>
              <w:t xml:space="preserve">Die Festlegung des Wassertarifs ist ein partizipativer Prozess, bei welchem ein Konsens </w:t>
            </w:r>
            <w:r w:rsidR="00B246DC">
              <w:rPr>
                <w:rFonts w:cs="Arial"/>
                <w:sz w:val="18"/>
                <w:szCs w:val="18"/>
                <w:lang w:eastAsia="en-US"/>
              </w:rPr>
              <w:t>aller</w:t>
            </w:r>
            <w:r w:rsidRPr="00675AE7">
              <w:rPr>
                <w:rFonts w:cs="Arial"/>
                <w:sz w:val="18"/>
                <w:szCs w:val="18"/>
                <w:lang w:eastAsia="en-US"/>
              </w:rPr>
              <w:t xml:space="preserve"> Gemeindemitglieder gesucht wird und kein Defizit entsteht. Die Höhe des Beitrages variiert somit auch von</w:t>
            </w:r>
            <w:r w:rsidR="00B246DC">
              <w:rPr>
                <w:rFonts w:cs="Arial"/>
                <w:sz w:val="18"/>
                <w:szCs w:val="18"/>
                <w:lang w:eastAsia="en-US"/>
              </w:rPr>
              <w:t xml:space="preserve"> Gemeinde zu Gemeinde</w:t>
            </w:r>
            <w:r w:rsidRPr="00675AE7">
              <w:rPr>
                <w:rFonts w:cs="Arial"/>
                <w:sz w:val="18"/>
                <w:szCs w:val="18"/>
                <w:lang w:eastAsia="en-US"/>
              </w:rPr>
              <w:t>.</w:t>
            </w:r>
          </w:p>
          <w:p w14:paraId="685574EB" w14:textId="194E33DF" w:rsidR="003B5195" w:rsidRPr="0082420A" w:rsidRDefault="00B67D1D" w:rsidP="00B246DC">
            <w:pPr>
              <w:pStyle w:val="ListParagraph"/>
              <w:numPr>
                <w:ilvl w:val="0"/>
                <w:numId w:val="6"/>
              </w:numPr>
              <w:suppressAutoHyphens w:val="0"/>
              <w:autoSpaceDE w:val="0"/>
              <w:autoSpaceDN w:val="0"/>
              <w:adjustRightInd w:val="0"/>
              <w:snapToGrid w:val="0"/>
              <w:spacing w:before="40" w:after="40"/>
              <w:ind w:left="181" w:hanging="181"/>
              <w:contextualSpacing w:val="0"/>
              <w:rPr>
                <w:rFonts w:cs="Arial"/>
                <w:sz w:val="18"/>
                <w:szCs w:val="18"/>
                <w:lang w:eastAsia="en-US"/>
              </w:rPr>
            </w:pPr>
            <w:r>
              <w:rPr>
                <w:rFonts w:cs="Arial"/>
                <w:sz w:val="18"/>
                <w:szCs w:val="18"/>
                <w:lang w:eastAsia="en-US"/>
              </w:rPr>
              <w:t>Zum Unterhalt der</w:t>
            </w:r>
            <w:r w:rsidR="003B5195" w:rsidRPr="0082420A">
              <w:rPr>
                <w:rFonts w:cs="Arial"/>
                <w:sz w:val="18"/>
                <w:szCs w:val="18"/>
                <w:lang w:eastAsia="en-US"/>
              </w:rPr>
              <w:t xml:space="preserve"> Regenwassersammlung werden die direkten </w:t>
            </w:r>
            <w:r w:rsidR="00390592" w:rsidRPr="0082420A">
              <w:rPr>
                <w:rFonts w:cs="Arial"/>
                <w:sz w:val="18"/>
                <w:szCs w:val="18"/>
                <w:lang w:eastAsia="en-US"/>
              </w:rPr>
              <w:t>Begünstigten</w:t>
            </w:r>
            <w:r w:rsidR="003B5195" w:rsidRPr="0082420A">
              <w:rPr>
                <w:rFonts w:cs="Arial"/>
                <w:sz w:val="18"/>
                <w:szCs w:val="18"/>
                <w:lang w:eastAsia="en-US"/>
              </w:rPr>
              <w:t xml:space="preserve"> auf Familien- und kollektiver Ebene sensibilisiert und technisch geschult.</w:t>
            </w:r>
          </w:p>
          <w:p w14:paraId="35A8493B" w14:textId="77777777" w:rsidR="003B5195" w:rsidRPr="0082420A" w:rsidRDefault="003B5195" w:rsidP="00B246DC">
            <w:pPr>
              <w:pStyle w:val="ListParagraph"/>
              <w:numPr>
                <w:ilvl w:val="0"/>
                <w:numId w:val="6"/>
              </w:numPr>
              <w:suppressAutoHyphens w:val="0"/>
              <w:autoSpaceDE w:val="0"/>
              <w:autoSpaceDN w:val="0"/>
              <w:adjustRightInd w:val="0"/>
              <w:snapToGrid w:val="0"/>
              <w:spacing w:before="40" w:after="40"/>
              <w:ind w:left="181" w:hanging="181"/>
              <w:contextualSpacing w:val="0"/>
              <w:rPr>
                <w:rFonts w:cs="Arial"/>
                <w:sz w:val="18"/>
                <w:szCs w:val="18"/>
                <w:lang w:eastAsia="en-US"/>
              </w:rPr>
            </w:pPr>
            <w:r w:rsidRPr="0082420A">
              <w:rPr>
                <w:rFonts w:cs="Arial"/>
                <w:sz w:val="18"/>
                <w:szCs w:val="18"/>
                <w:lang w:eastAsia="en-US"/>
              </w:rPr>
              <w:t>Die Mitglieder der Trinkwasserkomitees und zusätzliche Gemeindevertreter werden in der Organisation von Komitees und im Unterhalt der Wassersysteme geschult.</w:t>
            </w:r>
          </w:p>
          <w:p w14:paraId="460B5D7E" w14:textId="281A4552" w:rsidR="0070178E" w:rsidRPr="00E538B3" w:rsidRDefault="00E538B3" w:rsidP="00B246DC">
            <w:pPr>
              <w:pStyle w:val="ListParagraph"/>
              <w:numPr>
                <w:ilvl w:val="0"/>
                <w:numId w:val="6"/>
              </w:numPr>
              <w:suppressAutoHyphens w:val="0"/>
              <w:autoSpaceDE w:val="0"/>
              <w:autoSpaceDN w:val="0"/>
              <w:adjustRightInd w:val="0"/>
              <w:snapToGrid w:val="0"/>
              <w:spacing w:before="40" w:after="40"/>
              <w:ind w:left="181" w:hanging="181"/>
              <w:contextualSpacing w:val="0"/>
              <w:rPr>
                <w:rFonts w:cs="Arial"/>
                <w:sz w:val="18"/>
                <w:szCs w:val="18"/>
                <w:lang w:eastAsia="en-US"/>
              </w:rPr>
            </w:pPr>
            <w:r w:rsidRPr="00E538B3">
              <w:rPr>
                <w:rFonts w:cs="Arial"/>
                <w:sz w:val="18"/>
                <w:szCs w:val="18"/>
                <w:lang w:eastAsia="en-US"/>
              </w:rPr>
              <w:t xml:space="preserve">Lehrpersonen und Mitarbeitende des regionalen Gesundheitszentrums sind an der Durchführung von Schulungen zu Hygiene, Gesundheit und dem richtigen Gebrauch von Wasser mit beteiligt um die Bewusstseinsförderung zu Hygienepraktiken über das Projektende hinaus sicher zu stellen. </w:t>
            </w:r>
          </w:p>
          <w:p w14:paraId="58061809" w14:textId="61FF2432" w:rsidR="00E538B3" w:rsidRPr="00E538B3" w:rsidRDefault="00E538B3" w:rsidP="00EE7A3A">
            <w:pPr>
              <w:pStyle w:val="ListParagraph"/>
              <w:numPr>
                <w:ilvl w:val="0"/>
                <w:numId w:val="6"/>
              </w:numPr>
              <w:suppressAutoHyphens w:val="0"/>
              <w:autoSpaceDE w:val="0"/>
              <w:autoSpaceDN w:val="0"/>
              <w:adjustRightInd w:val="0"/>
              <w:snapToGrid w:val="0"/>
              <w:spacing w:before="40" w:after="40"/>
              <w:ind w:left="181" w:hanging="181"/>
              <w:contextualSpacing w:val="0"/>
              <w:rPr>
                <w:rFonts w:cs="Arial"/>
                <w:sz w:val="18"/>
                <w:szCs w:val="18"/>
                <w:lang w:eastAsia="en-US"/>
              </w:rPr>
            </w:pPr>
            <w:r>
              <w:rPr>
                <w:rFonts w:cs="Arial"/>
                <w:sz w:val="18"/>
                <w:szCs w:val="18"/>
                <w:lang w:eastAsia="en-US"/>
              </w:rPr>
              <w:t>D</w:t>
            </w:r>
            <w:r w:rsidR="003B5195" w:rsidRPr="0082420A">
              <w:rPr>
                <w:rFonts w:cs="Arial"/>
                <w:sz w:val="18"/>
                <w:szCs w:val="18"/>
                <w:lang w:eastAsia="en-US"/>
              </w:rPr>
              <w:t xml:space="preserve">as Projekt </w:t>
            </w:r>
            <w:r w:rsidR="00EE7A3A">
              <w:rPr>
                <w:rFonts w:cs="Arial"/>
                <w:sz w:val="18"/>
                <w:szCs w:val="18"/>
                <w:lang w:eastAsia="en-US"/>
              </w:rPr>
              <w:t xml:space="preserve">hat sich </w:t>
            </w:r>
            <w:r w:rsidR="003B5195" w:rsidRPr="0082420A">
              <w:rPr>
                <w:rFonts w:cs="Arial"/>
                <w:sz w:val="18"/>
                <w:szCs w:val="18"/>
                <w:lang w:eastAsia="en-US"/>
              </w:rPr>
              <w:t xml:space="preserve">zum Ziel </w:t>
            </w:r>
            <w:r w:rsidR="0070178E" w:rsidRPr="0082420A">
              <w:rPr>
                <w:rFonts w:cs="Arial"/>
                <w:sz w:val="18"/>
                <w:szCs w:val="18"/>
                <w:lang w:eastAsia="en-US"/>
              </w:rPr>
              <w:t>gesetzt</w:t>
            </w:r>
            <w:r w:rsidR="003B5195" w:rsidRPr="0082420A">
              <w:rPr>
                <w:rFonts w:cs="Arial"/>
                <w:sz w:val="18"/>
                <w:szCs w:val="18"/>
                <w:lang w:eastAsia="en-US"/>
              </w:rPr>
              <w:t xml:space="preserve"> </w:t>
            </w:r>
            <w:r w:rsidR="003B5195" w:rsidRPr="0082420A">
              <w:rPr>
                <w:rFonts w:cs="Arial"/>
                <w:sz w:val="18"/>
                <w:szCs w:val="18"/>
              </w:rPr>
              <w:t>die aktive Partizipation von Frauen in den Projektaktivitäten zu erhöhen</w:t>
            </w:r>
            <w:r w:rsidR="003B5195" w:rsidRPr="0082420A">
              <w:rPr>
                <w:rFonts w:cs="Arial"/>
                <w:sz w:val="18"/>
                <w:szCs w:val="18"/>
                <w:lang w:eastAsia="en-US"/>
              </w:rPr>
              <w:t xml:space="preserve">. </w:t>
            </w:r>
            <w:r w:rsidR="003B5195" w:rsidRPr="0082420A">
              <w:rPr>
                <w:rFonts w:cs="Arial"/>
                <w:sz w:val="18"/>
                <w:szCs w:val="18"/>
              </w:rPr>
              <w:t>Da die Beschaffung von Wasser zumeist von Frauen und</w:t>
            </w:r>
            <w:r w:rsidR="003B5195" w:rsidRPr="0082420A">
              <w:rPr>
                <w:rFonts w:cs="Arial"/>
                <w:sz w:val="18"/>
                <w:szCs w:val="18"/>
                <w:lang w:eastAsia="en-US"/>
              </w:rPr>
              <w:t xml:space="preserve"> </w:t>
            </w:r>
            <w:r w:rsidR="003B5195" w:rsidRPr="0082420A">
              <w:rPr>
                <w:rFonts w:cs="Arial"/>
                <w:sz w:val="18"/>
                <w:szCs w:val="18"/>
              </w:rPr>
              <w:t xml:space="preserve">Mädchen verrichtet wird, ist die Wirkung des Projekts auf die Reduktion des Arbeitsaufwands von Frauen und Mädchen bedeutend. </w:t>
            </w:r>
            <w:r w:rsidR="005C4821">
              <w:rPr>
                <w:rFonts w:cs="Arial"/>
                <w:sz w:val="18"/>
                <w:szCs w:val="18"/>
              </w:rPr>
              <w:t>In einem ersten Schritt wird die</w:t>
            </w:r>
            <w:r w:rsidR="005C4821" w:rsidRPr="005C4821">
              <w:rPr>
                <w:rFonts w:cs="Arial"/>
                <w:sz w:val="18"/>
                <w:szCs w:val="18"/>
              </w:rPr>
              <w:t xml:space="preserve"> Situation von Männern, Frauen, Jungen und Mädchen in Bezug auf die verschiedenen Projektkomponenten </w:t>
            </w:r>
            <w:r w:rsidR="005C4821">
              <w:rPr>
                <w:rFonts w:cs="Arial"/>
                <w:sz w:val="18"/>
                <w:szCs w:val="18"/>
              </w:rPr>
              <w:t>analysiert</w:t>
            </w:r>
            <w:r w:rsidR="005C4821" w:rsidRPr="005C4821">
              <w:rPr>
                <w:rFonts w:cs="Arial"/>
                <w:sz w:val="18"/>
                <w:szCs w:val="18"/>
              </w:rPr>
              <w:t xml:space="preserve">. </w:t>
            </w:r>
            <w:r w:rsidR="005C4821">
              <w:rPr>
                <w:rFonts w:cs="Arial"/>
                <w:sz w:val="18"/>
                <w:szCs w:val="18"/>
              </w:rPr>
              <w:t>Basierend darauf wird das Projekt so angepasst um möglich verschiedene Bevölkerungsgruppen zu erreichen</w:t>
            </w:r>
            <w:r w:rsidR="005C4821" w:rsidRPr="005C4821">
              <w:rPr>
                <w:rFonts w:cs="Arial"/>
                <w:sz w:val="18"/>
                <w:szCs w:val="18"/>
              </w:rPr>
              <w:t>.</w:t>
            </w:r>
          </w:p>
        </w:tc>
      </w:tr>
      <w:tr w:rsidR="009B3753" w:rsidRPr="0082420A" w14:paraId="5AE08783" w14:textId="77777777" w:rsidTr="00B74284">
        <w:trPr>
          <w:jc w:val="center"/>
        </w:trPr>
        <w:tc>
          <w:tcPr>
            <w:tcW w:w="9714" w:type="dxa"/>
            <w:tcBorders>
              <w:left w:val="single" w:sz="4" w:space="0" w:color="000000"/>
              <w:bottom w:val="single" w:sz="4" w:space="0" w:color="000000"/>
              <w:right w:val="single" w:sz="4" w:space="0" w:color="000000"/>
            </w:tcBorders>
            <w:shd w:val="clear" w:color="auto" w:fill="F3F3F3"/>
          </w:tcPr>
          <w:p w14:paraId="1060566F" w14:textId="77777777" w:rsidR="009B3753" w:rsidRPr="0082420A" w:rsidRDefault="009B3753">
            <w:pPr>
              <w:snapToGrid w:val="0"/>
              <w:spacing w:before="40" w:after="40"/>
              <w:rPr>
                <w:b/>
                <w:sz w:val="18"/>
              </w:rPr>
            </w:pPr>
            <w:r w:rsidRPr="0082420A">
              <w:rPr>
                <w:b/>
                <w:sz w:val="18"/>
              </w:rPr>
              <w:lastRenderedPageBreak/>
              <w:t xml:space="preserve">4. </w:t>
            </w:r>
            <w:r w:rsidR="006354D1" w:rsidRPr="0082420A">
              <w:rPr>
                <w:b/>
                <w:sz w:val="18"/>
              </w:rPr>
              <w:t xml:space="preserve">Erwartete </w:t>
            </w:r>
            <w:r w:rsidR="007E19FC" w:rsidRPr="0082420A">
              <w:rPr>
                <w:b/>
                <w:sz w:val="18"/>
              </w:rPr>
              <w:t>Ergebnisse</w:t>
            </w:r>
            <w:r w:rsidR="006354D1" w:rsidRPr="0082420A">
              <w:rPr>
                <w:b/>
                <w:sz w:val="18"/>
              </w:rPr>
              <w:t xml:space="preserve"> und ihre </w:t>
            </w:r>
            <w:r w:rsidR="007E19FC" w:rsidRPr="0082420A">
              <w:rPr>
                <w:b/>
                <w:sz w:val="18"/>
              </w:rPr>
              <w:t>voraussichtliche</w:t>
            </w:r>
            <w:r w:rsidR="006354D1" w:rsidRPr="0082420A">
              <w:rPr>
                <w:b/>
                <w:sz w:val="18"/>
              </w:rPr>
              <w:t xml:space="preserve"> Nachhaltigkeit</w:t>
            </w:r>
          </w:p>
        </w:tc>
      </w:tr>
      <w:tr w:rsidR="009B3753" w:rsidRPr="0082420A" w14:paraId="1CE9CDBF" w14:textId="77777777" w:rsidTr="00B74284">
        <w:trPr>
          <w:jc w:val="center"/>
        </w:trPr>
        <w:tc>
          <w:tcPr>
            <w:tcW w:w="9714" w:type="dxa"/>
            <w:tcBorders>
              <w:left w:val="single" w:sz="4" w:space="0" w:color="000000"/>
              <w:bottom w:val="single" w:sz="4" w:space="0" w:color="000000"/>
              <w:right w:val="single" w:sz="4" w:space="0" w:color="000000"/>
            </w:tcBorders>
          </w:tcPr>
          <w:p w14:paraId="21DB40A6" w14:textId="3960DFC9" w:rsidR="00CC4C6C" w:rsidRDefault="00390592" w:rsidP="00CC4C6C">
            <w:pPr>
              <w:snapToGrid w:val="0"/>
              <w:spacing w:before="40" w:after="40"/>
              <w:rPr>
                <w:sz w:val="18"/>
              </w:rPr>
            </w:pPr>
            <w:r>
              <w:rPr>
                <w:sz w:val="18"/>
              </w:rPr>
              <w:t>Die Versorgung mit</w:t>
            </w:r>
            <w:r w:rsidR="00E03928" w:rsidRPr="0082420A">
              <w:rPr>
                <w:sz w:val="18"/>
              </w:rPr>
              <w:t xml:space="preserve"> sauberem</w:t>
            </w:r>
            <w:r w:rsidR="0082420A" w:rsidRPr="0082420A">
              <w:rPr>
                <w:sz w:val="18"/>
              </w:rPr>
              <w:t xml:space="preserve"> </w:t>
            </w:r>
            <w:r w:rsidR="00E03928" w:rsidRPr="0082420A">
              <w:rPr>
                <w:sz w:val="18"/>
              </w:rPr>
              <w:t>Trinkwasser</w:t>
            </w:r>
            <w:r>
              <w:rPr>
                <w:sz w:val="18"/>
              </w:rPr>
              <w:t xml:space="preserve"> von </w:t>
            </w:r>
            <w:r w:rsidRPr="0082420A">
              <w:rPr>
                <w:sz w:val="18"/>
              </w:rPr>
              <w:t xml:space="preserve">294 Familien </w:t>
            </w:r>
            <w:r>
              <w:rPr>
                <w:sz w:val="18"/>
              </w:rPr>
              <w:t xml:space="preserve">(ca. 1'470 Menschen), sowie deren Ausbildung zu Hygiene- und </w:t>
            </w:r>
            <w:r w:rsidR="00E03928" w:rsidRPr="0082420A">
              <w:rPr>
                <w:sz w:val="18"/>
              </w:rPr>
              <w:t>Gesundhei</w:t>
            </w:r>
            <w:r w:rsidR="0082420A" w:rsidRPr="0082420A">
              <w:rPr>
                <w:sz w:val="18"/>
              </w:rPr>
              <w:t xml:space="preserve">tsfragen </w:t>
            </w:r>
            <w:r>
              <w:rPr>
                <w:sz w:val="18"/>
              </w:rPr>
              <w:t>und Verbesserung deren</w:t>
            </w:r>
            <w:r w:rsidR="00E03928" w:rsidRPr="0082420A">
              <w:rPr>
                <w:sz w:val="18"/>
              </w:rPr>
              <w:t xml:space="preserve"> Hygienepraktiken</w:t>
            </w:r>
            <w:r w:rsidR="00E538B3">
              <w:rPr>
                <w:sz w:val="18"/>
              </w:rPr>
              <w:t xml:space="preserve"> soll folgende Wirkung erzie</w:t>
            </w:r>
            <w:r>
              <w:rPr>
                <w:sz w:val="18"/>
              </w:rPr>
              <w:t>l</w:t>
            </w:r>
            <w:r w:rsidR="00E538B3">
              <w:rPr>
                <w:sz w:val="18"/>
              </w:rPr>
              <w:t>e</w:t>
            </w:r>
            <w:r w:rsidR="003969BB">
              <w:rPr>
                <w:sz w:val="18"/>
              </w:rPr>
              <w:t>n: i) n</w:t>
            </w:r>
            <w:r w:rsidR="00E03928" w:rsidRPr="003969BB">
              <w:rPr>
                <w:sz w:val="18"/>
              </w:rPr>
              <w:t>ach</w:t>
            </w:r>
            <w:r w:rsidR="003969BB">
              <w:rPr>
                <w:sz w:val="18"/>
              </w:rPr>
              <w:t>-</w:t>
            </w:r>
            <w:r w:rsidR="00E03928" w:rsidRPr="003969BB">
              <w:rPr>
                <w:sz w:val="18"/>
              </w:rPr>
              <w:t xml:space="preserve">haltiger </w:t>
            </w:r>
            <w:r w:rsidR="0057274F" w:rsidRPr="003969BB">
              <w:rPr>
                <w:sz w:val="18"/>
              </w:rPr>
              <w:t>Rückgang</w:t>
            </w:r>
            <w:r w:rsidR="00E03928" w:rsidRPr="003969BB">
              <w:rPr>
                <w:sz w:val="18"/>
              </w:rPr>
              <w:t xml:space="preserve"> der chronischen Magen- und Darmkrankheiten und</w:t>
            </w:r>
            <w:r w:rsidR="0082420A" w:rsidRPr="003969BB">
              <w:rPr>
                <w:sz w:val="18"/>
              </w:rPr>
              <w:t xml:space="preserve"> der Durchfallerkrankungen</w:t>
            </w:r>
            <w:r w:rsidR="00CC4C6C" w:rsidRPr="003969BB">
              <w:rPr>
                <w:sz w:val="18"/>
              </w:rPr>
              <w:t>;</w:t>
            </w:r>
            <w:r w:rsidR="003969BB">
              <w:rPr>
                <w:sz w:val="18"/>
              </w:rPr>
              <w:t xml:space="preserve"> ii) n</w:t>
            </w:r>
            <w:r w:rsidR="00E03928" w:rsidRPr="003969BB">
              <w:rPr>
                <w:sz w:val="18"/>
              </w:rPr>
              <w:t>achhaltige Reduktion der Kindersterblichkeit in den Gemeinden</w:t>
            </w:r>
            <w:r w:rsidR="00CC4C6C" w:rsidRPr="003969BB">
              <w:rPr>
                <w:sz w:val="18"/>
              </w:rPr>
              <w:t>;</w:t>
            </w:r>
            <w:r w:rsidR="003969BB">
              <w:rPr>
                <w:sz w:val="18"/>
              </w:rPr>
              <w:t xml:space="preserve"> iii) </w:t>
            </w:r>
            <w:r w:rsidR="00E27353" w:rsidRPr="003969BB">
              <w:rPr>
                <w:sz w:val="18"/>
              </w:rPr>
              <w:t xml:space="preserve">Zeitgewinn </w:t>
            </w:r>
            <w:r w:rsidR="007541EA" w:rsidRPr="003969BB">
              <w:rPr>
                <w:sz w:val="18"/>
              </w:rPr>
              <w:t>für</w:t>
            </w:r>
            <w:r w:rsidR="00CC4C6C" w:rsidRPr="003969BB">
              <w:rPr>
                <w:sz w:val="18"/>
              </w:rPr>
              <w:t xml:space="preserve"> Frauen und Mädchen.</w:t>
            </w:r>
            <w:r w:rsidR="003969BB">
              <w:rPr>
                <w:sz w:val="18"/>
              </w:rPr>
              <w:t xml:space="preserve"> </w:t>
            </w:r>
            <w:r w:rsidR="00CC4C6C" w:rsidRPr="00CC4C6C">
              <w:rPr>
                <w:sz w:val="18"/>
              </w:rPr>
              <w:t xml:space="preserve">Zudem </w:t>
            </w:r>
            <w:r w:rsidR="007541EA">
              <w:rPr>
                <w:sz w:val="18"/>
              </w:rPr>
              <w:t>soll</w:t>
            </w:r>
            <w:r w:rsidR="00CC4C6C" w:rsidRPr="00CC4C6C">
              <w:rPr>
                <w:sz w:val="18"/>
              </w:rPr>
              <w:t xml:space="preserve"> durch Sensibilisierung zu Hygienefragen die Nachfrage </w:t>
            </w:r>
            <w:r w:rsidR="007541EA">
              <w:rPr>
                <w:sz w:val="18"/>
              </w:rPr>
              <w:t>nach Sanitären Einrichtungen gefördert werden</w:t>
            </w:r>
            <w:r w:rsidR="00CC4C6C" w:rsidRPr="00CC4C6C">
              <w:rPr>
                <w:sz w:val="18"/>
              </w:rPr>
              <w:t>.</w:t>
            </w:r>
          </w:p>
          <w:p w14:paraId="742A7C27" w14:textId="10C30FE0" w:rsidR="00675AE7" w:rsidRPr="00CC4C6C" w:rsidRDefault="0057274F" w:rsidP="007541EA">
            <w:pPr>
              <w:snapToGrid w:val="0"/>
              <w:spacing w:before="40" w:after="40"/>
              <w:rPr>
                <w:sz w:val="18"/>
              </w:rPr>
            </w:pPr>
            <w:r w:rsidRPr="00CC4C6C">
              <w:rPr>
                <w:sz w:val="18"/>
              </w:rPr>
              <w:t>Durch Einbezug des Bürgermeisteramtes sowie der Bevölkerung ist die Nachhaltigkeit der Wassersysteme, deren Unterhalt und Wartung sichergestellt. Für den Bau werden wenn mögliche lokale, sonst regionale Materialien und Kapazitäten verwendet.</w:t>
            </w:r>
            <w:r w:rsidR="007541EA">
              <w:rPr>
                <w:sz w:val="18"/>
              </w:rPr>
              <w:t xml:space="preserve"> </w:t>
            </w:r>
            <w:r>
              <w:rPr>
                <w:sz w:val="18"/>
              </w:rPr>
              <w:t>Die A</w:t>
            </w:r>
            <w:r w:rsidR="001012C1">
              <w:rPr>
                <w:sz w:val="18"/>
              </w:rPr>
              <w:t>usbildung von Trinkwasserkomitee</w:t>
            </w:r>
            <w:r>
              <w:rPr>
                <w:sz w:val="18"/>
              </w:rPr>
              <w:t xml:space="preserve">s im Unterhalt aber auch im Finanzmanagement trägt zur lokalen Kapazitätsstärkung bei und schafft die </w:t>
            </w:r>
            <w:r w:rsidR="007541EA">
              <w:rPr>
                <w:sz w:val="18"/>
              </w:rPr>
              <w:t>ideale Voraussetzung</w:t>
            </w:r>
            <w:r>
              <w:rPr>
                <w:sz w:val="18"/>
              </w:rPr>
              <w:t xml:space="preserve"> für die einwandfreie Funktion der erstellten Infrastruktur nach Projektende. Die Ausbildung des Schulpersonals erlaubt die langfristige Verankerung der Komponente Hygiene und Gesundheit im lokalen Lehrplan.</w:t>
            </w:r>
          </w:p>
        </w:tc>
      </w:tr>
      <w:tr w:rsidR="009B3753" w:rsidRPr="0082420A" w14:paraId="5DE5F35A" w14:textId="77777777" w:rsidTr="00B74284">
        <w:trPr>
          <w:jc w:val="center"/>
        </w:trPr>
        <w:tc>
          <w:tcPr>
            <w:tcW w:w="9714" w:type="dxa"/>
            <w:tcBorders>
              <w:left w:val="single" w:sz="4" w:space="0" w:color="000000"/>
              <w:bottom w:val="single" w:sz="4" w:space="0" w:color="000000"/>
              <w:right w:val="single" w:sz="4" w:space="0" w:color="000000"/>
            </w:tcBorders>
            <w:shd w:val="clear" w:color="auto" w:fill="F3F3F3"/>
          </w:tcPr>
          <w:p w14:paraId="5086C950" w14:textId="77777777" w:rsidR="009B3753" w:rsidRPr="0082420A" w:rsidRDefault="009B3753">
            <w:pPr>
              <w:snapToGrid w:val="0"/>
              <w:spacing w:before="40" w:after="40"/>
              <w:rPr>
                <w:b/>
                <w:sz w:val="18"/>
              </w:rPr>
            </w:pPr>
            <w:r w:rsidRPr="0082420A">
              <w:rPr>
                <w:b/>
                <w:sz w:val="18"/>
              </w:rPr>
              <w:t xml:space="preserve">5. </w:t>
            </w:r>
            <w:r w:rsidR="006354D1" w:rsidRPr="0082420A">
              <w:rPr>
                <w:b/>
                <w:sz w:val="18"/>
              </w:rPr>
              <w:t>Risiken</w:t>
            </w:r>
            <w:r w:rsidR="00D52C36" w:rsidRPr="0082420A">
              <w:rPr>
                <w:b/>
                <w:sz w:val="18"/>
              </w:rPr>
              <w:t xml:space="preserve"> </w:t>
            </w:r>
            <w:r w:rsidR="006354D1" w:rsidRPr="0082420A">
              <w:rPr>
                <w:b/>
                <w:sz w:val="18"/>
              </w:rPr>
              <w:t>und ihre Milderung</w:t>
            </w:r>
          </w:p>
        </w:tc>
      </w:tr>
      <w:tr w:rsidR="009B3753" w:rsidRPr="0082420A" w14:paraId="114F5951" w14:textId="77777777" w:rsidTr="00B74284">
        <w:trPr>
          <w:jc w:val="center"/>
        </w:trPr>
        <w:tc>
          <w:tcPr>
            <w:tcW w:w="9714" w:type="dxa"/>
            <w:tcBorders>
              <w:left w:val="single" w:sz="4" w:space="0" w:color="000000"/>
              <w:bottom w:val="single" w:sz="4" w:space="0" w:color="000000"/>
              <w:right w:val="single" w:sz="4" w:space="0" w:color="000000"/>
            </w:tcBorders>
          </w:tcPr>
          <w:p w14:paraId="400FB64D" w14:textId="1C44302E" w:rsidR="00CA1DB7" w:rsidRDefault="00916624" w:rsidP="007541EA">
            <w:pPr>
              <w:snapToGrid w:val="0"/>
              <w:spacing w:before="40" w:after="40"/>
              <w:rPr>
                <w:sz w:val="18"/>
              </w:rPr>
            </w:pPr>
            <w:r>
              <w:rPr>
                <w:sz w:val="18"/>
              </w:rPr>
              <w:t>D</w:t>
            </w:r>
            <w:r w:rsidR="00CA1DB7">
              <w:rPr>
                <w:sz w:val="18"/>
              </w:rPr>
              <w:t>ie Hauptrisiken sind politische</w:t>
            </w:r>
            <w:r>
              <w:rPr>
                <w:sz w:val="18"/>
              </w:rPr>
              <w:t xml:space="preserve"> I</w:t>
            </w:r>
            <w:r w:rsidR="001B355E" w:rsidRPr="001B355E">
              <w:rPr>
                <w:sz w:val="18"/>
              </w:rPr>
              <w:t>nstabilitäten, so dass die G</w:t>
            </w:r>
            <w:r w:rsidR="00844B0C">
              <w:rPr>
                <w:sz w:val="18"/>
              </w:rPr>
              <w:t>emeindebezirke ihren Verpflich</w:t>
            </w:r>
            <w:r w:rsidR="001B355E" w:rsidRPr="001B355E">
              <w:rPr>
                <w:sz w:val="18"/>
              </w:rPr>
              <w:t>tungen nicht na</w:t>
            </w:r>
            <w:r>
              <w:rPr>
                <w:sz w:val="18"/>
              </w:rPr>
              <w:t>chkommen oder besondere Klimaver</w:t>
            </w:r>
            <w:r w:rsidR="003315DD">
              <w:rPr>
                <w:sz w:val="18"/>
              </w:rPr>
              <w:t>hältnisse (Kälteeinbrüche, Trock</w:t>
            </w:r>
            <w:r>
              <w:rPr>
                <w:sz w:val="18"/>
              </w:rPr>
              <w:t xml:space="preserve">enperioden) die den Bauprozess verzögern, oder den </w:t>
            </w:r>
            <w:r w:rsidRPr="001B355E">
              <w:rPr>
                <w:sz w:val="18"/>
              </w:rPr>
              <w:t xml:space="preserve">Wasserzufluss auf eine </w:t>
            </w:r>
            <w:r w:rsidR="003315DD" w:rsidRPr="001B355E">
              <w:rPr>
                <w:sz w:val="18"/>
              </w:rPr>
              <w:t>ungenügende</w:t>
            </w:r>
            <w:r>
              <w:rPr>
                <w:sz w:val="18"/>
              </w:rPr>
              <w:t xml:space="preserve"> </w:t>
            </w:r>
            <w:r w:rsidRPr="001B355E">
              <w:rPr>
                <w:sz w:val="18"/>
              </w:rPr>
              <w:t>Menge reduzieren könnten</w:t>
            </w:r>
            <w:r>
              <w:rPr>
                <w:sz w:val="18"/>
              </w:rPr>
              <w:t>.</w:t>
            </w:r>
            <w:r w:rsidR="007541EA">
              <w:rPr>
                <w:sz w:val="18"/>
              </w:rPr>
              <w:t xml:space="preserve"> </w:t>
            </w:r>
            <w:r w:rsidRPr="001B355E">
              <w:rPr>
                <w:sz w:val="18"/>
              </w:rPr>
              <w:t>In beiden Fällen gibt es k</w:t>
            </w:r>
            <w:r>
              <w:rPr>
                <w:sz w:val="18"/>
              </w:rPr>
              <w:t>eine</w:t>
            </w:r>
            <w:r w:rsidRPr="001B355E">
              <w:rPr>
                <w:sz w:val="18"/>
              </w:rPr>
              <w:t xml:space="preserve"> Gegenmassnahmen. </w:t>
            </w:r>
            <w:r>
              <w:rPr>
                <w:sz w:val="18"/>
              </w:rPr>
              <w:t>D</w:t>
            </w:r>
            <w:r w:rsidRPr="001B355E">
              <w:rPr>
                <w:sz w:val="18"/>
              </w:rPr>
              <w:t>ie Messungen des</w:t>
            </w:r>
            <w:r>
              <w:rPr>
                <w:sz w:val="18"/>
              </w:rPr>
              <w:t xml:space="preserve"> </w:t>
            </w:r>
            <w:r w:rsidRPr="001B355E">
              <w:rPr>
                <w:sz w:val="18"/>
              </w:rPr>
              <w:t xml:space="preserve">Wasserzuflusses werden </w:t>
            </w:r>
            <w:r>
              <w:rPr>
                <w:sz w:val="18"/>
              </w:rPr>
              <w:t xml:space="preserve">jedoch </w:t>
            </w:r>
            <w:r w:rsidRPr="001B355E">
              <w:rPr>
                <w:sz w:val="18"/>
              </w:rPr>
              <w:t>nach Möglichkeit zu Ende der Trockenzeit</w:t>
            </w:r>
            <w:r>
              <w:rPr>
                <w:sz w:val="18"/>
              </w:rPr>
              <w:t xml:space="preserve"> </w:t>
            </w:r>
            <w:r w:rsidRPr="001B355E">
              <w:rPr>
                <w:sz w:val="18"/>
              </w:rPr>
              <w:t>gemacht, so dass d</w:t>
            </w:r>
            <w:r>
              <w:rPr>
                <w:sz w:val="18"/>
              </w:rPr>
              <w:t xml:space="preserve">ie </w:t>
            </w:r>
            <w:r w:rsidR="0047637C">
              <w:rPr>
                <w:sz w:val="18"/>
              </w:rPr>
              <w:t xml:space="preserve">Machbarkeit der </w:t>
            </w:r>
            <w:r>
              <w:rPr>
                <w:sz w:val="18"/>
              </w:rPr>
              <w:t>Infrastruktur basierend auf dem</w:t>
            </w:r>
            <w:r w:rsidRPr="001B355E">
              <w:rPr>
                <w:sz w:val="18"/>
              </w:rPr>
              <w:t xml:space="preserve"> minimale</w:t>
            </w:r>
            <w:r>
              <w:rPr>
                <w:sz w:val="18"/>
              </w:rPr>
              <w:t>n</w:t>
            </w:r>
            <w:r w:rsidRPr="001B355E">
              <w:rPr>
                <w:sz w:val="18"/>
              </w:rPr>
              <w:t xml:space="preserve"> Zufluss </w:t>
            </w:r>
            <w:r w:rsidR="0047637C">
              <w:rPr>
                <w:sz w:val="18"/>
              </w:rPr>
              <w:t xml:space="preserve">abgeklärt wird. </w:t>
            </w:r>
            <w:r w:rsidR="007541EA">
              <w:rPr>
                <w:sz w:val="18"/>
              </w:rPr>
              <w:t>Auch</w:t>
            </w:r>
            <w:r w:rsidR="0047637C">
              <w:rPr>
                <w:sz w:val="18"/>
              </w:rPr>
              <w:t xml:space="preserve"> wird die</w:t>
            </w:r>
            <w:r w:rsidR="007541EA">
              <w:rPr>
                <w:sz w:val="18"/>
              </w:rPr>
              <w:t xml:space="preserve"> Speicherkapazität</w:t>
            </w:r>
            <w:bookmarkStart w:id="0" w:name="_GoBack"/>
            <w:bookmarkEnd w:id="0"/>
            <w:r w:rsidR="0047637C" w:rsidRPr="0047637C">
              <w:rPr>
                <w:sz w:val="18"/>
              </w:rPr>
              <w:t xml:space="preserve"> der Wasserreservoirs </w:t>
            </w:r>
            <w:r w:rsidR="007541EA" w:rsidRPr="0047637C">
              <w:rPr>
                <w:sz w:val="18"/>
              </w:rPr>
              <w:t>für</w:t>
            </w:r>
            <w:r w:rsidR="0047637C">
              <w:rPr>
                <w:sz w:val="18"/>
              </w:rPr>
              <w:t xml:space="preserve"> </w:t>
            </w:r>
            <w:r w:rsidR="0047637C" w:rsidRPr="0047637C">
              <w:rPr>
                <w:sz w:val="18"/>
              </w:rPr>
              <w:t>Gravitations</w:t>
            </w:r>
            <w:r w:rsidR="0047637C">
              <w:rPr>
                <w:sz w:val="18"/>
              </w:rPr>
              <w:t>-</w:t>
            </w:r>
            <w:r w:rsidR="0047637C" w:rsidRPr="0047637C">
              <w:rPr>
                <w:sz w:val="18"/>
              </w:rPr>
              <w:t xml:space="preserve"> </w:t>
            </w:r>
            <w:r w:rsidR="0047637C">
              <w:rPr>
                <w:sz w:val="18"/>
              </w:rPr>
              <w:t>sowie</w:t>
            </w:r>
            <w:r w:rsidR="0047637C" w:rsidRPr="0047637C">
              <w:rPr>
                <w:sz w:val="18"/>
              </w:rPr>
              <w:t xml:space="preserve"> Regenwassersysteme an die</w:t>
            </w:r>
            <w:r w:rsidR="0047637C">
              <w:rPr>
                <w:sz w:val="18"/>
              </w:rPr>
              <w:t xml:space="preserve"> </w:t>
            </w:r>
            <w:r w:rsidR="0047637C" w:rsidRPr="0047637C">
              <w:rPr>
                <w:sz w:val="18"/>
              </w:rPr>
              <w:t xml:space="preserve">tatsächliche </w:t>
            </w:r>
            <w:r w:rsidR="003315DD" w:rsidRPr="0047637C">
              <w:rPr>
                <w:sz w:val="18"/>
              </w:rPr>
              <w:t>Verfügbarkeit</w:t>
            </w:r>
            <w:r w:rsidR="0047637C" w:rsidRPr="0047637C">
              <w:rPr>
                <w:sz w:val="18"/>
              </w:rPr>
              <w:t xml:space="preserve"> angepasst.</w:t>
            </w:r>
          </w:p>
          <w:p w14:paraId="3554CD28" w14:textId="00C83A29" w:rsidR="00EF134E" w:rsidRPr="00CA1DB7" w:rsidRDefault="00EF134E" w:rsidP="007541EA">
            <w:pPr>
              <w:spacing w:before="40" w:after="40"/>
              <w:rPr>
                <w:sz w:val="18"/>
              </w:rPr>
            </w:pPr>
            <w:r w:rsidRPr="00EF134E">
              <w:rPr>
                <w:sz w:val="18"/>
              </w:rPr>
              <w:t>Die S</w:t>
            </w:r>
            <w:r w:rsidR="007541EA">
              <w:rPr>
                <w:sz w:val="18"/>
              </w:rPr>
              <w:t xml:space="preserve">icherstellung der Kommunikation und </w:t>
            </w:r>
            <w:r w:rsidRPr="00EF134E">
              <w:rPr>
                <w:sz w:val="18"/>
              </w:rPr>
              <w:t>Verantwortung zwischen Behörden und Wasserkomitees ist eine Heraus</w:t>
            </w:r>
            <w:r w:rsidR="007541EA">
              <w:rPr>
                <w:sz w:val="18"/>
              </w:rPr>
              <w:t>-</w:t>
            </w:r>
            <w:r w:rsidRPr="00EF134E">
              <w:rPr>
                <w:sz w:val="18"/>
              </w:rPr>
              <w:t>forderung und wird vom P</w:t>
            </w:r>
            <w:r w:rsidR="00CC4C6C">
              <w:rPr>
                <w:sz w:val="18"/>
              </w:rPr>
              <w:t>rojekt als prioritär eingestuft</w:t>
            </w:r>
            <w:r w:rsidRPr="00EF134E">
              <w:rPr>
                <w:sz w:val="18"/>
              </w:rPr>
              <w:t xml:space="preserve"> weil damit auch die Nachhaltigkeit des Betriebes sichergestellt ist. Eine der geplanten Aktivitäten, respektive Prioritäten in der Zusammenarbeit mit den Behörden liegt in deren institutionellen Stärkung der Behörden sämtlicher Themen bezüglich WASH mit dem Ziel, innerhalb der Behörde eine dafür zuständige Kommission zu formen und zu stärken und diese dad</w:t>
            </w:r>
            <w:r w:rsidR="005C4821">
              <w:rPr>
                <w:sz w:val="18"/>
              </w:rPr>
              <w:t>urch in Verantwortung zu nehmen.</w:t>
            </w:r>
          </w:p>
        </w:tc>
      </w:tr>
      <w:tr w:rsidR="009B3753" w:rsidRPr="0082420A" w14:paraId="36376BE0" w14:textId="77777777" w:rsidTr="00B74284">
        <w:trPr>
          <w:jc w:val="center"/>
        </w:trPr>
        <w:tc>
          <w:tcPr>
            <w:tcW w:w="9714" w:type="dxa"/>
            <w:tcBorders>
              <w:left w:val="single" w:sz="4" w:space="0" w:color="000000"/>
              <w:bottom w:val="single" w:sz="4" w:space="0" w:color="000000"/>
              <w:right w:val="single" w:sz="4" w:space="0" w:color="000000"/>
            </w:tcBorders>
            <w:shd w:val="clear" w:color="auto" w:fill="F3F3F3"/>
          </w:tcPr>
          <w:p w14:paraId="2C222D7A" w14:textId="77777777" w:rsidR="009B3753" w:rsidRPr="0082420A" w:rsidRDefault="009B3753">
            <w:pPr>
              <w:snapToGrid w:val="0"/>
              <w:spacing w:before="40" w:after="40"/>
              <w:rPr>
                <w:b/>
                <w:sz w:val="18"/>
              </w:rPr>
            </w:pPr>
            <w:r w:rsidRPr="0082420A">
              <w:rPr>
                <w:b/>
                <w:sz w:val="18"/>
              </w:rPr>
              <w:t xml:space="preserve">6. </w:t>
            </w:r>
            <w:r w:rsidR="007E19FC" w:rsidRPr="0082420A">
              <w:rPr>
                <w:b/>
                <w:sz w:val="18"/>
              </w:rPr>
              <w:t>Verhältnis zwischen</w:t>
            </w:r>
            <w:r w:rsidRPr="0082420A">
              <w:rPr>
                <w:b/>
                <w:sz w:val="18"/>
              </w:rPr>
              <w:t xml:space="preserve"> </w:t>
            </w:r>
            <w:r w:rsidR="007E19FC" w:rsidRPr="0082420A">
              <w:rPr>
                <w:b/>
                <w:sz w:val="18"/>
              </w:rPr>
              <w:t>Inputs</w:t>
            </w:r>
            <w:r w:rsidRPr="0082420A">
              <w:rPr>
                <w:b/>
                <w:sz w:val="18"/>
              </w:rPr>
              <w:t xml:space="preserve"> </w:t>
            </w:r>
            <w:r w:rsidR="007E19FC" w:rsidRPr="0082420A">
              <w:rPr>
                <w:b/>
                <w:sz w:val="18"/>
              </w:rPr>
              <w:t>und</w:t>
            </w:r>
            <w:r w:rsidR="00576201" w:rsidRPr="0082420A">
              <w:rPr>
                <w:b/>
                <w:sz w:val="18"/>
              </w:rPr>
              <w:t xml:space="preserve"> </w:t>
            </w:r>
            <w:r w:rsidR="007E19FC" w:rsidRPr="0082420A">
              <w:rPr>
                <w:b/>
                <w:sz w:val="18"/>
              </w:rPr>
              <w:t>Outputs</w:t>
            </w:r>
          </w:p>
        </w:tc>
      </w:tr>
      <w:tr w:rsidR="009B3753" w:rsidRPr="0082420A" w14:paraId="40812275" w14:textId="77777777" w:rsidTr="00B74284">
        <w:trPr>
          <w:jc w:val="center"/>
        </w:trPr>
        <w:tc>
          <w:tcPr>
            <w:tcW w:w="9714" w:type="dxa"/>
            <w:tcBorders>
              <w:left w:val="single" w:sz="4" w:space="0" w:color="000000"/>
              <w:bottom w:val="single" w:sz="4" w:space="0" w:color="000000"/>
              <w:right w:val="single" w:sz="4" w:space="0" w:color="000000"/>
            </w:tcBorders>
          </w:tcPr>
          <w:p w14:paraId="1F133FBE" w14:textId="0C57ABCC" w:rsidR="009B3753" w:rsidRPr="0082420A" w:rsidRDefault="003315DD" w:rsidP="007541EA">
            <w:pPr>
              <w:snapToGrid w:val="0"/>
              <w:spacing w:before="40" w:after="40"/>
              <w:rPr>
                <w:sz w:val="18"/>
              </w:rPr>
            </w:pPr>
            <w:r>
              <w:rPr>
                <w:sz w:val="18"/>
              </w:rPr>
              <w:t xml:space="preserve">Die Kosten betragen </w:t>
            </w:r>
            <w:r w:rsidR="007541EA">
              <w:rPr>
                <w:sz w:val="18"/>
              </w:rPr>
              <w:t>269</w:t>
            </w:r>
            <w:r w:rsidR="00CE6365" w:rsidRPr="00CE6365">
              <w:rPr>
                <w:sz w:val="18"/>
              </w:rPr>
              <w:t xml:space="preserve"> CHF pro </w:t>
            </w:r>
            <w:r w:rsidR="0028289C" w:rsidRPr="00CE6365">
              <w:rPr>
                <w:sz w:val="18"/>
              </w:rPr>
              <w:t>Begünstigten</w:t>
            </w:r>
            <w:r>
              <w:rPr>
                <w:sz w:val="18"/>
              </w:rPr>
              <w:t>. Im Vergleich zur erwarteten Langzeitwirkung des Projektes ist dies gerechtfertigt.</w:t>
            </w:r>
            <w:r w:rsidR="00C0000D">
              <w:rPr>
                <w:sz w:val="18"/>
              </w:rPr>
              <w:t xml:space="preserve"> </w:t>
            </w:r>
            <w:r w:rsidR="00C0000D" w:rsidRPr="00D76C03">
              <w:rPr>
                <w:sz w:val="18"/>
              </w:rPr>
              <w:t>Die</w:t>
            </w:r>
            <w:r w:rsidR="00321855">
              <w:rPr>
                <w:sz w:val="18"/>
              </w:rPr>
              <w:t xml:space="preserve"> Munizipien tragen </w:t>
            </w:r>
            <w:r w:rsidR="007541EA">
              <w:rPr>
                <w:sz w:val="18"/>
              </w:rPr>
              <w:t>~</w:t>
            </w:r>
            <w:r w:rsidR="00321855">
              <w:rPr>
                <w:sz w:val="18"/>
              </w:rPr>
              <w:t>10% und die</w:t>
            </w:r>
            <w:r w:rsidR="00C0000D" w:rsidRPr="00D76C03">
              <w:rPr>
                <w:sz w:val="18"/>
              </w:rPr>
              <w:t xml:space="preserve"> Bevölkerung </w:t>
            </w:r>
            <w:r w:rsidR="007541EA">
              <w:rPr>
                <w:sz w:val="18"/>
              </w:rPr>
              <w:t>~</w:t>
            </w:r>
            <w:r w:rsidR="00321855">
              <w:rPr>
                <w:sz w:val="18"/>
              </w:rPr>
              <w:t>5</w:t>
            </w:r>
            <w:r w:rsidR="00C0000D" w:rsidRPr="00D76C03">
              <w:rPr>
                <w:sz w:val="18"/>
              </w:rPr>
              <w:t xml:space="preserve">% der Gesamtkosten bei, was deren Engagement </w:t>
            </w:r>
            <w:r w:rsidR="00321855">
              <w:rPr>
                <w:sz w:val="18"/>
              </w:rPr>
              <w:t>be</w:t>
            </w:r>
            <w:r w:rsidR="00C0000D" w:rsidRPr="00D76C03">
              <w:rPr>
                <w:sz w:val="18"/>
              </w:rPr>
              <w:t>stärkt.</w:t>
            </w:r>
            <w:r w:rsidR="00321855">
              <w:rPr>
                <w:sz w:val="18"/>
              </w:rPr>
              <w:t xml:space="preserve"> Operationskosten sind minim und die </w:t>
            </w:r>
            <w:r w:rsidR="00321855" w:rsidRPr="00321855">
              <w:rPr>
                <w:sz w:val="18"/>
              </w:rPr>
              <w:t xml:space="preserve">Projektbegleitkosten </w:t>
            </w:r>
            <w:r w:rsidR="007541EA">
              <w:rPr>
                <w:sz w:val="18"/>
              </w:rPr>
              <w:t>&amp;</w:t>
            </w:r>
            <w:r w:rsidR="00321855" w:rsidRPr="00321855">
              <w:rPr>
                <w:sz w:val="18"/>
              </w:rPr>
              <w:t xml:space="preserve"> Monitoring Caritas Schweiz </w:t>
            </w:r>
            <w:r w:rsidR="00321855">
              <w:rPr>
                <w:sz w:val="18"/>
              </w:rPr>
              <w:t xml:space="preserve">betragen </w:t>
            </w:r>
            <w:r w:rsidR="007541EA">
              <w:rPr>
                <w:sz w:val="18"/>
              </w:rPr>
              <w:t>~</w:t>
            </w:r>
            <w:r w:rsidR="00321855">
              <w:rPr>
                <w:sz w:val="18"/>
              </w:rPr>
              <w:t>11%.</w:t>
            </w:r>
          </w:p>
        </w:tc>
      </w:tr>
      <w:tr w:rsidR="009B3753" w:rsidRPr="0082420A" w14:paraId="4FB1DEB6" w14:textId="77777777" w:rsidTr="00B74284">
        <w:trPr>
          <w:jc w:val="center"/>
        </w:trPr>
        <w:tc>
          <w:tcPr>
            <w:tcW w:w="9714" w:type="dxa"/>
            <w:tcBorders>
              <w:left w:val="single" w:sz="4" w:space="0" w:color="000000"/>
              <w:bottom w:val="single" w:sz="4" w:space="0" w:color="000000"/>
              <w:right w:val="single" w:sz="4" w:space="0" w:color="000000"/>
            </w:tcBorders>
            <w:shd w:val="clear" w:color="auto" w:fill="F3F3F3"/>
          </w:tcPr>
          <w:p w14:paraId="3513B274" w14:textId="77777777" w:rsidR="009B3753" w:rsidRPr="0082420A" w:rsidRDefault="009B3753">
            <w:pPr>
              <w:snapToGrid w:val="0"/>
              <w:spacing w:before="40" w:after="40"/>
              <w:rPr>
                <w:b/>
                <w:sz w:val="18"/>
              </w:rPr>
            </w:pPr>
            <w:r w:rsidRPr="0082420A">
              <w:rPr>
                <w:b/>
                <w:sz w:val="18"/>
              </w:rPr>
              <w:t xml:space="preserve">7. </w:t>
            </w:r>
            <w:r w:rsidR="007E19FC" w:rsidRPr="0082420A">
              <w:rPr>
                <w:b/>
                <w:sz w:val="18"/>
              </w:rPr>
              <w:t>Bemerkungen</w:t>
            </w:r>
          </w:p>
        </w:tc>
      </w:tr>
      <w:tr w:rsidR="009B3753" w:rsidRPr="0082420A" w14:paraId="060772E7" w14:textId="77777777" w:rsidTr="00B74284">
        <w:trPr>
          <w:jc w:val="center"/>
        </w:trPr>
        <w:tc>
          <w:tcPr>
            <w:tcW w:w="9714" w:type="dxa"/>
            <w:tcBorders>
              <w:left w:val="single" w:sz="4" w:space="0" w:color="000000"/>
              <w:bottom w:val="single" w:sz="4" w:space="0" w:color="000000"/>
              <w:right w:val="single" w:sz="4" w:space="0" w:color="000000"/>
            </w:tcBorders>
          </w:tcPr>
          <w:p w14:paraId="6DFAE647" w14:textId="24DFED2A" w:rsidR="005C4821" w:rsidRPr="005C4821" w:rsidRDefault="005C4821" w:rsidP="005C4821">
            <w:pPr>
              <w:snapToGrid w:val="0"/>
              <w:spacing w:before="40" w:after="40"/>
              <w:rPr>
                <w:sz w:val="18"/>
              </w:rPr>
            </w:pPr>
            <w:r w:rsidRPr="005C4821">
              <w:rPr>
                <w:sz w:val="18"/>
              </w:rPr>
              <w:t xml:space="preserve">Obwohl die Verfügbarkeit von Wasser, somit auch des Abwassers erhöht wird, </w:t>
            </w:r>
            <w:r w:rsidR="00F630BE">
              <w:rPr>
                <w:sz w:val="18"/>
              </w:rPr>
              <w:t>ist</w:t>
            </w:r>
            <w:r w:rsidRPr="005C4821">
              <w:rPr>
                <w:sz w:val="18"/>
              </w:rPr>
              <w:t xml:space="preserve"> im Rahmen der Projektaktivitäten die Aufbereitung des (zusätzlich) anfallenden Abwassers kein primärer Fokus. Die Partnerorganisation sensibilis</w:t>
            </w:r>
            <w:r w:rsidR="00385BC5">
              <w:rPr>
                <w:sz w:val="18"/>
              </w:rPr>
              <w:t>i</w:t>
            </w:r>
            <w:r w:rsidRPr="005C4821">
              <w:rPr>
                <w:sz w:val="18"/>
              </w:rPr>
              <w:t xml:space="preserve">ert </w:t>
            </w:r>
            <w:r w:rsidR="00F630BE">
              <w:rPr>
                <w:sz w:val="18"/>
              </w:rPr>
              <w:t>aber</w:t>
            </w:r>
            <w:r w:rsidRPr="005C4821">
              <w:rPr>
                <w:sz w:val="18"/>
              </w:rPr>
              <w:t xml:space="preserve"> im Rahmen der Gemeindeentwicklung d</w:t>
            </w:r>
            <w:r w:rsidR="00385BC5">
              <w:rPr>
                <w:sz w:val="18"/>
              </w:rPr>
              <w:t>ie Bevölkerung dahingehend, dass</w:t>
            </w:r>
            <w:r w:rsidRPr="005C4821">
              <w:rPr>
                <w:sz w:val="18"/>
              </w:rPr>
              <w:t xml:space="preserve"> diese Absorptionsgruben erstellen zur Filterung des Abwassers. Es wird empfohlen im </w:t>
            </w:r>
            <w:r w:rsidR="00F630BE">
              <w:rPr>
                <w:sz w:val="18"/>
              </w:rPr>
              <w:t>Projekt</w:t>
            </w:r>
            <w:r w:rsidRPr="005C4821">
              <w:rPr>
                <w:sz w:val="18"/>
              </w:rPr>
              <w:t xml:space="preserve"> darauf zu achten, ob diese Sensibilisierung ausreichend ist oder ob eventuell zusätzliche Massnahmen für den Erhalt der Siedlungshygiene durchgeführt werden müssen.</w:t>
            </w:r>
          </w:p>
          <w:p w14:paraId="4D611F56" w14:textId="2ACB8F33" w:rsidR="005C4821" w:rsidRPr="005C4821" w:rsidRDefault="005C4821" w:rsidP="005C4821">
            <w:pPr>
              <w:snapToGrid w:val="0"/>
              <w:spacing w:before="40" w:after="40"/>
              <w:rPr>
                <w:sz w:val="18"/>
              </w:rPr>
            </w:pPr>
            <w:r w:rsidRPr="005C4821">
              <w:rPr>
                <w:sz w:val="18"/>
              </w:rPr>
              <w:t xml:space="preserve">Die Art der Installation und Unterhalt sind im Falle der Regenwassersysteme von grosser Wichtigkeit </w:t>
            </w:r>
            <w:r w:rsidR="00CC4C6C">
              <w:rPr>
                <w:sz w:val="18"/>
              </w:rPr>
              <w:t>(</w:t>
            </w:r>
            <w:r w:rsidRPr="005C4821">
              <w:rPr>
                <w:sz w:val="18"/>
              </w:rPr>
              <w:t xml:space="preserve">z.B. Zustand Regenrinne, Einlauftrichter und Fallrohr, Siphon und Filter um Insekten vorzubeugen). Die Partnerorganisation ist darin geschult, die Qualität des Wassers festzustellen und diese durch Methoden, wie </w:t>
            </w:r>
            <w:r w:rsidR="00F630BE">
              <w:rPr>
                <w:sz w:val="18"/>
              </w:rPr>
              <w:t>z.B.</w:t>
            </w:r>
            <w:r w:rsidRPr="005C4821">
              <w:rPr>
                <w:sz w:val="18"/>
              </w:rPr>
              <w:t xml:space="preserve"> SODIS, abkochen, der Zugabe von Chlor oder Filtermethoden sicherzustellen. Zu diesem Thema werden auch die Wasserkomitees geschult.</w:t>
            </w:r>
          </w:p>
          <w:p w14:paraId="21FC15AA" w14:textId="29C89CDB" w:rsidR="005C4821" w:rsidRPr="005C4821" w:rsidRDefault="00F630BE" w:rsidP="005C4821">
            <w:pPr>
              <w:snapToGrid w:val="0"/>
              <w:spacing w:before="40" w:after="40"/>
              <w:rPr>
                <w:sz w:val="18"/>
              </w:rPr>
            </w:pPr>
            <w:r>
              <w:rPr>
                <w:sz w:val="18"/>
              </w:rPr>
              <w:t xml:space="preserve">In </w:t>
            </w:r>
            <w:r w:rsidR="005C4821" w:rsidRPr="005C4821">
              <w:rPr>
                <w:sz w:val="18"/>
              </w:rPr>
              <w:t>Gemeinden mit Wassermangel</w:t>
            </w:r>
            <w:r w:rsidR="009B1E81">
              <w:rPr>
                <w:sz w:val="18"/>
              </w:rPr>
              <w:t xml:space="preserve"> und Regensammelsystemen</w:t>
            </w:r>
            <w:r w:rsidR="005C4821" w:rsidRPr="005C4821">
              <w:rPr>
                <w:sz w:val="18"/>
              </w:rPr>
              <w:t xml:space="preserve"> wird die Bevölkerung </w:t>
            </w:r>
            <w:r>
              <w:rPr>
                <w:sz w:val="18"/>
              </w:rPr>
              <w:t>in</w:t>
            </w:r>
            <w:r w:rsidR="005C4821" w:rsidRPr="005C4821">
              <w:rPr>
                <w:sz w:val="18"/>
              </w:rPr>
              <w:t xml:space="preserve"> Workshops im sorgfältigen Umgang mit Wasser für den Hausgebrauch und die persönliche Hygiene geschult. In Gemeinden mit Wassermangel und </w:t>
            </w:r>
            <w:r w:rsidR="009B1E81">
              <w:rPr>
                <w:sz w:val="18"/>
              </w:rPr>
              <w:t>gravitären S</w:t>
            </w:r>
            <w:r w:rsidR="005C4821" w:rsidRPr="005C4821">
              <w:rPr>
                <w:sz w:val="18"/>
              </w:rPr>
              <w:t>ysteme</w:t>
            </w:r>
            <w:r w:rsidR="009B1E81">
              <w:rPr>
                <w:sz w:val="18"/>
              </w:rPr>
              <w:t>n</w:t>
            </w:r>
            <w:r w:rsidR="005C4821" w:rsidRPr="005C4821">
              <w:rPr>
                <w:sz w:val="18"/>
              </w:rPr>
              <w:t xml:space="preserve"> werden Zeitpläne für den Gebrauch des knappen Wassers ausgearbeitet und die Bevölkerung ebenfalls geschult, das Wasser nur für den Hausgebrauch sowie die</w:t>
            </w:r>
            <w:r w:rsidR="009B1E81">
              <w:rPr>
                <w:sz w:val="18"/>
              </w:rPr>
              <w:t xml:space="preserve"> persönliche Hygiene zu </w:t>
            </w:r>
            <w:r w:rsidR="009B1E81">
              <w:rPr>
                <w:sz w:val="18"/>
              </w:rPr>
              <w:lastRenderedPageBreak/>
              <w:t>nutzen.</w:t>
            </w:r>
          </w:p>
          <w:p w14:paraId="72496DD5" w14:textId="66547183" w:rsidR="00EF134E" w:rsidRPr="0082420A" w:rsidRDefault="00EF134E" w:rsidP="005C4821">
            <w:pPr>
              <w:snapToGrid w:val="0"/>
              <w:spacing w:before="40" w:after="40"/>
              <w:rPr>
                <w:sz w:val="18"/>
              </w:rPr>
            </w:pPr>
            <w:r w:rsidRPr="00EF134E">
              <w:rPr>
                <w:sz w:val="18"/>
              </w:rPr>
              <w:t>Die Wichtigkeit eines Austausch zwischen den Wasserkomitees wurde erkannt und fü</w:t>
            </w:r>
            <w:r w:rsidR="00F630BE">
              <w:rPr>
                <w:sz w:val="18"/>
              </w:rPr>
              <w:t>r die neue Programmphase 2017–</w:t>
            </w:r>
            <w:r w:rsidRPr="00EF134E">
              <w:rPr>
                <w:sz w:val="18"/>
              </w:rPr>
              <w:t>2019 als Aktivität vorgesehen, um die Erfahrungen zu erweitern und „Lessons learnt“ auszutauschen</w:t>
            </w:r>
            <w:r w:rsidR="005C4821">
              <w:rPr>
                <w:sz w:val="18"/>
              </w:rPr>
              <w:t>.</w:t>
            </w:r>
          </w:p>
        </w:tc>
      </w:tr>
      <w:tr w:rsidR="009B3753" w:rsidRPr="0082420A" w14:paraId="49E1E889" w14:textId="77777777" w:rsidTr="00B74284">
        <w:trPr>
          <w:jc w:val="center"/>
        </w:trPr>
        <w:tc>
          <w:tcPr>
            <w:tcW w:w="9714" w:type="dxa"/>
            <w:tcBorders>
              <w:left w:val="single" w:sz="4" w:space="0" w:color="000000"/>
              <w:bottom w:val="single" w:sz="4" w:space="0" w:color="000000"/>
              <w:right w:val="single" w:sz="4" w:space="0" w:color="000000"/>
            </w:tcBorders>
            <w:shd w:val="clear" w:color="auto" w:fill="F3F3F3"/>
          </w:tcPr>
          <w:p w14:paraId="66CFB865" w14:textId="77777777" w:rsidR="009B3753" w:rsidRPr="0082420A" w:rsidRDefault="007E19FC">
            <w:pPr>
              <w:snapToGrid w:val="0"/>
              <w:spacing w:before="40" w:after="40"/>
              <w:rPr>
                <w:b/>
                <w:sz w:val="18"/>
              </w:rPr>
            </w:pPr>
            <w:r w:rsidRPr="0082420A">
              <w:rPr>
                <w:b/>
                <w:sz w:val="18"/>
              </w:rPr>
              <w:lastRenderedPageBreak/>
              <w:t>Datum, Verfasser der Zweitmeinung und Kontaktdetails</w:t>
            </w:r>
          </w:p>
        </w:tc>
      </w:tr>
      <w:tr w:rsidR="009B3753" w:rsidRPr="0082420A" w14:paraId="32504865" w14:textId="77777777" w:rsidTr="00B74284">
        <w:trPr>
          <w:jc w:val="center"/>
        </w:trPr>
        <w:tc>
          <w:tcPr>
            <w:tcW w:w="9714" w:type="dxa"/>
            <w:tcBorders>
              <w:left w:val="single" w:sz="4" w:space="0" w:color="000000"/>
              <w:bottom w:val="single" w:sz="4" w:space="0" w:color="000000"/>
              <w:right w:val="single" w:sz="4" w:space="0" w:color="000000"/>
            </w:tcBorders>
          </w:tcPr>
          <w:p w14:paraId="4EF54476" w14:textId="51845899" w:rsidR="005A6B03" w:rsidRPr="0082420A" w:rsidRDefault="003969BB">
            <w:pPr>
              <w:snapToGrid w:val="0"/>
              <w:spacing w:before="40" w:after="40"/>
              <w:rPr>
                <w:sz w:val="18"/>
              </w:rPr>
            </w:pPr>
            <w:r>
              <w:rPr>
                <w:sz w:val="18"/>
              </w:rPr>
              <w:t>17.06</w:t>
            </w:r>
            <w:r w:rsidR="007A7758" w:rsidRPr="0082420A">
              <w:rPr>
                <w:sz w:val="18"/>
              </w:rPr>
              <w:t xml:space="preserve">.2016, Dorothee Spuhler, </w:t>
            </w:r>
            <w:hyperlink r:id="rId9" w:history="1">
              <w:r w:rsidR="007A7758" w:rsidRPr="0082420A">
                <w:rPr>
                  <w:rStyle w:val="Hyperlink"/>
                  <w:sz w:val="18"/>
                </w:rPr>
                <w:t>dorothee.spuhler@seecon.ch</w:t>
              </w:r>
            </w:hyperlink>
            <w:r w:rsidR="007A7758" w:rsidRPr="0082420A">
              <w:rPr>
                <w:sz w:val="18"/>
              </w:rPr>
              <w:t xml:space="preserve"> </w:t>
            </w:r>
          </w:p>
        </w:tc>
      </w:tr>
    </w:tbl>
    <w:p w14:paraId="4CF62940" w14:textId="77777777" w:rsidR="009B3753" w:rsidRPr="0082420A" w:rsidRDefault="009B3753">
      <w:pPr>
        <w:pStyle w:val="List"/>
        <w:spacing w:before="120" w:after="40"/>
        <w:jc w:val="right"/>
        <w:rPr>
          <w:sz w:val="2"/>
        </w:rPr>
      </w:pPr>
    </w:p>
    <w:sectPr w:rsidR="009B3753" w:rsidRPr="0082420A">
      <w:headerReference w:type="default" r:id="rId10"/>
      <w:footerReference w:type="default" r:id="rId11"/>
      <w:footnotePr>
        <w:pos w:val="beneathText"/>
      </w:footnotePr>
      <w:pgSz w:w="11900" w:h="16837"/>
      <w:pgMar w:top="1134" w:right="1134" w:bottom="851" w:left="1134" w:header="709"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F8681" w14:textId="77777777" w:rsidR="00CC4C6C" w:rsidRDefault="00CC4C6C">
      <w:r>
        <w:separator/>
      </w:r>
    </w:p>
  </w:endnote>
  <w:endnote w:type="continuationSeparator" w:id="0">
    <w:p w14:paraId="082FEBC7" w14:textId="77777777" w:rsidR="00CC4C6C" w:rsidRDefault="00CC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5F03" w14:textId="77777777" w:rsidR="00CC4C6C" w:rsidRDefault="00CC4C6C">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5EF07" w14:textId="77777777" w:rsidR="00CC4C6C" w:rsidRDefault="00CC4C6C">
      <w:r>
        <w:separator/>
      </w:r>
    </w:p>
  </w:footnote>
  <w:footnote w:type="continuationSeparator" w:id="0">
    <w:p w14:paraId="0DAA1E2B" w14:textId="77777777" w:rsidR="00CC4C6C" w:rsidRDefault="00CC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3273" w14:textId="77777777" w:rsidR="00CC4C6C" w:rsidRDefault="00CC4C6C" w:rsidP="005A6B03">
    <w:pPr>
      <w:pStyle w:val="Header"/>
      <w:jc w:val="right"/>
      <w:rPr>
        <w:szCs w:val="20"/>
        <w:lang w:val="en-GB"/>
      </w:rPr>
    </w:pPr>
    <w:r>
      <w:rPr>
        <w:noProof/>
        <w:szCs w:val="20"/>
        <w:lang w:eastAsia="de-CH"/>
      </w:rPr>
      <w:drawing>
        <wp:inline distT="0" distB="0" distL="0" distR="0" wp14:anchorId="41C38BA8" wp14:editId="05D19130">
          <wp:extent cx="2514600" cy="37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622"/>
                  <a:stretch>
                    <a:fillRect/>
                  </a:stretch>
                </pic:blipFill>
                <pic:spPr bwMode="auto">
                  <a:xfrm>
                    <a:off x="0" y="0"/>
                    <a:ext cx="2514600" cy="372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B6F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5"/>
      <w:numFmt w:val="bullet"/>
      <w:lvlText w:val="-"/>
      <w:lvlJc w:val="left"/>
      <w:pPr>
        <w:tabs>
          <w:tab w:val="num" w:pos="720"/>
        </w:tabs>
      </w:pPr>
      <w:rPr>
        <w:rFonts w:ascii="Arial" w:hAnsi="Arial"/>
      </w:rPr>
    </w:lvl>
  </w:abstractNum>
  <w:abstractNum w:abstractNumId="2">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E377623"/>
    <w:multiLevelType w:val="hybridMultilevel"/>
    <w:tmpl w:val="F8DCA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3016A1"/>
    <w:multiLevelType w:val="hybridMultilevel"/>
    <w:tmpl w:val="B074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F96478"/>
    <w:multiLevelType w:val="hybridMultilevel"/>
    <w:tmpl w:val="302C9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C4667D"/>
    <w:multiLevelType w:val="hybridMultilevel"/>
    <w:tmpl w:val="080C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64BD5"/>
    <w:multiLevelType w:val="hybridMultilevel"/>
    <w:tmpl w:val="B644D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3733FF"/>
    <w:multiLevelType w:val="hybridMultilevel"/>
    <w:tmpl w:val="11EC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FC"/>
    <w:rsid w:val="00053FB7"/>
    <w:rsid w:val="000A1B74"/>
    <w:rsid w:val="000B495C"/>
    <w:rsid w:val="000C1987"/>
    <w:rsid w:val="000C7F54"/>
    <w:rsid w:val="001012C1"/>
    <w:rsid w:val="001423CF"/>
    <w:rsid w:val="00175701"/>
    <w:rsid w:val="001B355E"/>
    <w:rsid w:val="001B7ACE"/>
    <w:rsid w:val="001D7B68"/>
    <w:rsid w:val="001F4BDD"/>
    <w:rsid w:val="00225F76"/>
    <w:rsid w:val="002736B6"/>
    <w:rsid w:val="0028289C"/>
    <w:rsid w:val="002A4562"/>
    <w:rsid w:val="002E0171"/>
    <w:rsid w:val="00301D4C"/>
    <w:rsid w:val="00321855"/>
    <w:rsid w:val="00330AF9"/>
    <w:rsid w:val="0033126C"/>
    <w:rsid w:val="003315DD"/>
    <w:rsid w:val="0033377E"/>
    <w:rsid w:val="00336340"/>
    <w:rsid w:val="0034640E"/>
    <w:rsid w:val="00346D69"/>
    <w:rsid w:val="003615D7"/>
    <w:rsid w:val="00385BC5"/>
    <w:rsid w:val="00390592"/>
    <w:rsid w:val="003969BB"/>
    <w:rsid w:val="003B5195"/>
    <w:rsid w:val="003C3CB9"/>
    <w:rsid w:val="003D3948"/>
    <w:rsid w:val="00404AFA"/>
    <w:rsid w:val="00404F3D"/>
    <w:rsid w:val="00455A17"/>
    <w:rsid w:val="0047637C"/>
    <w:rsid w:val="004A21A5"/>
    <w:rsid w:val="004C472D"/>
    <w:rsid w:val="004C679B"/>
    <w:rsid w:val="004F4A7F"/>
    <w:rsid w:val="00533984"/>
    <w:rsid w:val="00541DB9"/>
    <w:rsid w:val="00555608"/>
    <w:rsid w:val="0057274F"/>
    <w:rsid w:val="00576201"/>
    <w:rsid w:val="00584FFC"/>
    <w:rsid w:val="005A3A3D"/>
    <w:rsid w:val="005A6B03"/>
    <w:rsid w:val="005A7310"/>
    <w:rsid w:val="005C4821"/>
    <w:rsid w:val="005C6AC8"/>
    <w:rsid w:val="00606718"/>
    <w:rsid w:val="00633DD6"/>
    <w:rsid w:val="006354D1"/>
    <w:rsid w:val="0064367C"/>
    <w:rsid w:val="0065080B"/>
    <w:rsid w:val="00675AE7"/>
    <w:rsid w:val="006C50EE"/>
    <w:rsid w:val="006E1748"/>
    <w:rsid w:val="006F1A2C"/>
    <w:rsid w:val="0070178E"/>
    <w:rsid w:val="007074DC"/>
    <w:rsid w:val="007541EA"/>
    <w:rsid w:val="007A7758"/>
    <w:rsid w:val="007E19FC"/>
    <w:rsid w:val="00815FA7"/>
    <w:rsid w:val="0082420A"/>
    <w:rsid w:val="00844B0C"/>
    <w:rsid w:val="00883536"/>
    <w:rsid w:val="00893746"/>
    <w:rsid w:val="008A1789"/>
    <w:rsid w:val="008B4A60"/>
    <w:rsid w:val="008C6A12"/>
    <w:rsid w:val="008D018F"/>
    <w:rsid w:val="008E02E9"/>
    <w:rsid w:val="008F05DE"/>
    <w:rsid w:val="008F391E"/>
    <w:rsid w:val="00916624"/>
    <w:rsid w:val="00953271"/>
    <w:rsid w:val="00983617"/>
    <w:rsid w:val="009A0F77"/>
    <w:rsid w:val="009A4E1C"/>
    <w:rsid w:val="009B1E81"/>
    <w:rsid w:val="009B3753"/>
    <w:rsid w:val="009C19FF"/>
    <w:rsid w:val="009F55DE"/>
    <w:rsid w:val="00A068EC"/>
    <w:rsid w:val="00A22EE2"/>
    <w:rsid w:val="00A314AA"/>
    <w:rsid w:val="00A34966"/>
    <w:rsid w:val="00AC692D"/>
    <w:rsid w:val="00AD1911"/>
    <w:rsid w:val="00B00521"/>
    <w:rsid w:val="00B173E4"/>
    <w:rsid w:val="00B219FC"/>
    <w:rsid w:val="00B246DC"/>
    <w:rsid w:val="00B322FE"/>
    <w:rsid w:val="00B57DAC"/>
    <w:rsid w:val="00B67D1D"/>
    <w:rsid w:val="00B714A4"/>
    <w:rsid w:val="00B74284"/>
    <w:rsid w:val="00B75096"/>
    <w:rsid w:val="00B92ABE"/>
    <w:rsid w:val="00BA0B5A"/>
    <w:rsid w:val="00C0000D"/>
    <w:rsid w:val="00C85CE9"/>
    <w:rsid w:val="00CA1DB7"/>
    <w:rsid w:val="00CA1E1C"/>
    <w:rsid w:val="00CC4C6C"/>
    <w:rsid w:val="00CD16C7"/>
    <w:rsid w:val="00CE6365"/>
    <w:rsid w:val="00D104D5"/>
    <w:rsid w:val="00D21201"/>
    <w:rsid w:val="00D52C36"/>
    <w:rsid w:val="00D5338D"/>
    <w:rsid w:val="00D60451"/>
    <w:rsid w:val="00D745D9"/>
    <w:rsid w:val="00D76C03"/>
    <w:rsid w:val="00DB6426"/>
    <w:rsid w:val="00DC56E9"/>
    <w:rsid w:val="00DE2103"/>
    <w:rsid w:val="00E013EF"/>
    <w:rsid w:val="00E03928"/>
    <w:rsid w:val="00E210B5"/>
    <w:rsid w:val="00E27353"/>
    <w:rsid w:val="00E36A56"/>
    <w:rsid w:val="00E538B3"/>
    <w:rsid w:val="00E90206"/>
    <w:rsid w:val="00EA129F"/>
    <w:rsid w:val="00EB0C18"/>
    <w:rsid w:val="00EC573A"/>
    <w:rsid w:val="00EE7A3A"/>
    <w:rsid w:val="00EF134E"/>
    <w:rsid w:val="00F04CEA"/>
    <w:rsid w:val="00F461E2"/>
    <w:rsid w:val="00F5247D"/>
    <w:rsid w:val="00F630BE"/>
    <w:rsid w:val="00F977AE"/>
    <w:rsid w:val="00FD0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81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val="de-CH"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Pr>
      <w:color w:val="0000FF"/>
      <w:u w:val="single"/>
    </w:rPr>
  </w:style>
  <w:style w:type="paragraph" w:styleId="BodyText2">
    <w:name w:val="Body Text 2"/>
    <w:basedOn w:val="Normal"/>
    <w:pPr>
      <w:snapToGrid w:val="0"/>
      <w:spacing w:before="60" w:after="60"/>
    </w:pPr>
    <w:rPr>
      <w:sz w:val="20"/>
    </w:rPr>
  </w:style>
  <w:style w:type="paragraph" w:styleId="BalloonText">
    <w:name w:val="Balloon Text"/>
    <w:basedOn w:val="Normal"/>
    <w:link w:val="BalloonTextChar"/>
    <w:rsid w:val="00B322F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B322FE"/>
    <w:rPr>
      <w:rFonts w:ascii="Lucida Grande" w:hAnsi="Lucida Grande" w:cs="Lucida Grande"/>
      <w:sz w:val="18"/>
      <w:szCs w:val="18"/>
      <w:lang w:val="de-CH" w:eastAsia="ar-SA"/>
    </w:rPr>
  </w:style>
  <w:style w:type="paragraph" w:styleId="ListParagraph">
    <w:name w:val="List Paragraph"/>
    <w:basedOn w:val="Normal"/>
    <w:uiPriority w:val="72"/>
    <w:rsid w:val="0033377E"/>
    <w:pPr>
      <w:ind w:left="720"/>
      <w:contextualSpacing/>
    </w:pPr>
  </w:style>
  <w:style w:type="character" w:styleId="CommentReference">
    <w:name w:val="annotation reference"/>
    <w:basedOn w:val="DefaultParagraphFont"/>
    <w:rsid w:val="00533984"/>
    <w:rPr>
      <w:sz w:val="18"/>
      <w:szCs w:val="18"/>
    </w:rPr>
  </w:style>
  <w:style w:type="paragraph" w:styleId="CommentText">
    <w:name w:val="annotation text"/>
    <w:basedOn w:val="Normal"/>
    <w:link w:val="CommentTextChar"/>
    <w:rsid w:val="00533984"/>
    <w:rPr>
      <w:sz w:val="24"/>
      <w:szCs w:val="24"/>
    </w:rPr>
  </w:style>
  <w:style w:type="character" w:customStyle="1" w:styleId="CommentTextChar">
    <w:name w:val="Comment Text Char"/>
    <w:basedOn w:val="DefaultParagraphFont"/>
    <w:link w:val="CommentText"/>
    <w:rsid w:val="00533984"/>
    <w:rPr>
      <w:rFonts w:ascii="Arial" w:hAnsi="Arial"/>
      <w:sz w:val="24"/>
      <w:szCs w:val="24"/>
      <w:lang w:val="de-CH" w:eastAsia="ar-SA"/>
    </w:rPr>
  </w:style>
  <w:style w:type="paragraph" w:styleId="CommentSubject">
    <w:name w:val="annotation subject"/>
    <w:basedOn w:val="CommentText"/>
    <w:next w:val="CommentText"/>
    <w:link w:val="CommentSubjectChar"/>
    <w:rsid w:val="00533984"/>
    <w:rPr>
      <w:b/>
      <w:bCs/>
      <w:sz w:val="20"/>
      <w:szCs w:val="20"/>
    </w:rPr>
  </w:style>
  <w:style w:type="character" w:customStyle="1" w:styleId="CommentSubjectChar">
    <w:name w:val="Comment Subject Char"/>
    <w:basedOn w:val="CommentTextChar"/>
    <w:link w:val="CommentSubject"/>
    <w:rsid w:val="00533984"/>
    <w:rPr>
      <w:rFonts w:ascii="Arial" w:hAnsi="Arial"/>
      <w:b/>
      <w:bCs/>
      <w:sz w:val="24"/>
      <w:szCs w:val="24"/>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val="de-CH"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Pr>
      <w:color w:val="0000FF"/>
      <w:u w:val="single"/>
    </w:rPr>
  </w:style>
  <w:style w:type="paragraph" w:styleId="BodyText2">
    <w:name w:val="Body Text 2"/>
    <w:basedOn w:val="Normal"/>
    <w:pPr>
      <w:snapToGrid w:val="0"/>
      <w:spacing w:before="60" w:after="60"/>
    </w:pPr>
    <w:rPr>
      <w:sz w:val="20"/>
    </w:rPr>
  </w:style>
  <w:style w:type="paragraph" w:styleId="BalloonText">
    <w:name w:val="Balloon Text"/>
    <w:basedOn w:val="Normal"/>
    <w:link w:val="BalloonTextChar"/>
    <w:rsid w:val="00B322F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B322FE"/>
    <w:rPr>
      <w:rFonts w:ascii="Lucida Grande" w:hAnsi="Lucida Grande" w:cs="Lucida Grande"/>
      <w:sz w:val="18"/>
      <w:szCs w:val="18"/>
      <w:lang w:val="de-CH" w:eastAsia="ar-SA"/>
    </w:rPr>
  </w:style>
  <w:style w:type="paragraph" w:styleId="ListParagraph">
    <w:name w:val="List Paragraph"/>
    <w:basedOn w:val="Normal"/>
    <w:uiPriority w:val="72"/>
    <w:rsid w:val="0033377E"/>
    <w:pPr>
      <w:ind w:left="720"/>
      <w:contextualSpacing/>
    </w:pPr>
  </w:style>
  <w:style w:type="character" w:styleId="CommentReference">
    <w:name w:val="annotation reference"/>
    <w:basedOn w:val="DefaultParagraphFont"/>
    <w:rsid w:val="00533984"/>
    <w:rPr>
      <w:sz w:val="18"/>
      <w:szCs w:val="18"/>
    </w:rPr>
  </w:style>
  <w:style w:type="paragraph" w:styleId="CommentText">
    <w:name w:val="annotation text"/>
    <w:basedOn w:val="Normal"/>
    <w:link w:val="CommentTextChar"/>
    <w:rsid w:val="00533984"/>
    <w:rPr>
      <w:sz w:val="24"/>
      <w:szCs w:val="24"/>
    </w:rPr>
  </w:style>
  <w:style w:type="character" w:customStyle="1" w:styleId="CommentTextChar">
    <w:name w:val="Comment Text Char"/>
    <w:basedOn w:val="DefaultParagraphFont"/>
    <w:link w:val="CommentText"/>
    <w:rsid w:val="00533984"/>
    <w:rPr>
      <w:rFonts w:ascii="Arial" w:hAnsi="Arial"/>
      <w:sz w:val="24"/>
      <w:szCs w:val="24"/>
      <w:lang w:val="de-CH" w:eastAsia="ar-SA"/>
    </w:rPr>
  </w:style>
  <w:style w:type="paragraph" w:styleId="CommentSubject">
    <w:name w:val="annotation subject"/>
    <w:basedOn w:val="CommentText"/>
    <w:next w:val="CommentText"/>
    <w:link w:val="CommentSubjectChar"/>
    <w:rsid w:val="00533984"/>
    <w:rPr>
      <w:b/>
      <w:bCs/>
      <w:sz w:val="20"/>
      <w:szCs w:val="20"/>
    </w:rPr>
  </w:style>
  <w:style w:type="character" w:customStyle="1" w:styleId="CommentSubjectChar">
    <w:name w:val="Comment Subject Char"/>
    <w:basedOn w:val="CommentTextChar"/>
    <w:link w:val="CommentSubject"/>
    <w:rsid w:val="00533984"/>
    <w:rPr>
      <w:rFonts w:ascii="Arial" w:hAnsi="Arial"/>
      <w:b/>
      <w:bCs/>
      <w:sz w:val="24"/>
      <w:szCs w:val="24"/>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2381">
      <w:bodyDiv w:val="1"/>
      <w:marLeft w:val="0"/>
      <w:marRight w:val="0"/>
      <w:marTop w:val="0"/>
      <w:marBottom w:val="0"/>
      <w:divBdr>
        <w:top w:val="none" w:sz="0" w:space="0" w:color="auto"/>
        <w:left w:val="none" w:sz="0" w:space="0" w:color="auto"/>
        <w:bottom w:val="none" w:sz="0" w:space="0" w:color="auto"/>
        <w:right w:val="none" w:sz="0" w:space="0" w:color="auto"/>
      </w:divBdr>
    </w:div>
    <w:div w:id="419371949">
      <w:bodyDiv w:val="1"/>
      <w:marLeft w:val="0"/>
      <w:marRight w:val="0"/>
      <w:marTop w:val="0"/>
      <w:marBottom w:val="0"/>
      <w:divBdr>
        <w:top w:val="none" w:sz="0" w:space="0" w:color="auto"/>
        <w:left w:val="none" w:sz="0" w:space="0" w:color="auto"/>
        <w:bottom w:val="none" w:sz="0" w:space="0" w:color="auto"/>
        <w:right w:val="none" w:sz="0" w:space="0" w:color="auto"/>
      </w:divBdr>
    </w:div>
    <w:div w:id="1116943567">
      <w:bodyDiv w:val="1"/>
      <w:marLeft w:val="0"/>
      <w:marRight w:val="0"/>
      <w:marTop w:val="0"/>
      <w:marBottom w:val="0"/>
      <w:divBdr>
        <w:top w:val="none" w:sz="0" w:space="0" w:color="auto"/>
        <w:left w:val="none" w:sz="0" w:space="0" w:color="auto"/>
        <w:bottom w:val="none" w:sz="0" w:space="0" w:color="auto"/>
        <w:right w:val="none" w:sz="0" w:space="0" w:color="auto"/>
      </w:divBdr>
    </w:div>
    <w:div w:id="1442726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rothee.spuhler@seecon.ch"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0" ma:contentTypeDescription="Crée un document." ma:contentTypeScope="" ma:versionID="a8927a38f68f1d81110fe1d063bda312">
  <xsd:schema xmlns:xsd="http://www.w3.org/2001/XMLSchema" xmlns:xs="http://www.w3.org/2001/XMLSchema" xmlns:p="http://schemas.microsoft.com/office/2006/metadata/properties" xmlns:ns2="42a3bd66-1a5b-498d-a95c-db100f66fc54" targetNamespace="http://schemas.microsoft.com/office/2006/metadata/properties" ma:root="true" ma:fieldsID="d442ee634f0dc83c7d596915298fab5d" ns2:_="">
    <xsd:import namespace="42a3bd66-1a5b-498d-a95c-db100f66f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57508-1273-49C4-A445-0CE003EF0B1B}">
  <ds:schemaRefs>
    <ds:schemaRef ds:uri="http://schemas.openxmlformats.org/officeDocument/2006/bibliography"/>
  </ds:schemaRefs>
</ds:datastoreItem>
</file>

<file path=customXml/itemProps2.xml><?xml version="1.0" encoding="utf-8"?>
<ds:datastoreItem xmlns:ds="http://schemas.openxmlformats.org/officeDocument/2006/customXml" ds:itemID="{3B8D8201-7A2C-4319-9870-79102AAD3878}"/>
</file>

<file path=customXml/itemProps3.xml><?xml version="1.0" encoding="utf-8"?>
<ds:datastoreItem xmlns:ds="http://schemas.openxmlformats.org/officeDocument/2006/customXml" ds:itemID="{F5486FEA-22D7-4A9E-A74C-D9B962603070}"/>
</file>

<file path=customXml/itemProps4.xml><?xml version="1.0" encoding="utf-8"?>
<ds:datastoreItem xmlns:ds="http://schemas.openxmlformats.org/officeDocument/2006/customXml" ds:itemID="{DE55C8D8-B45B-464F-A122-369208753363}"/>
</file>

<file path=docProps/app.xml><?xml version="1.0" encoding="utf-8"?>
<Properties xmlns="http://schemas.openxmlformats.org/officeDocument/2006/extended-properties" xmlns:vt="http://schemas.openxmlformats.org/officeDocument/2006/docPropsVTypes">
  <Template>Normal.dotm</Template>
  <TotalTime>0</TotalTime>
  <Pages>2</Pages>
  <Words>1647</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Solidarit’Eau Suisse Aguasan 2nd opinion</vt:lpstr>
    </vt:vector>
  </TitlesOfParts>
  <Company>HP</Company>
  <LinksUpToDate>false</LinksUpToDate>
  <CharactersWithSpaces>12004</CharactersWithSpaces>
  <SharedDoc>false</SharedDoc>
  <HLinks>
    <vt:vector size="6" baseType="variant">
      <vt:variant>
        <vt:i4>8192096</vt:i4>
      </vt:variant>
      <vt:variant>
        <vt:i4>0</vt:i4>
      </vt:variant>
      <vt:variant>
        <vt:i4>0</vt:i4>
      </vt:variant>
      <vt:variant>
        <vt:i4>5</vt:i4>
      </vt:variant>
      <vt:variant>
        <vt:lpwstr>mailto:dorothee.spuhler@seecon.ch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Solidarit’Eau Suisse Aguasan 2nd opinion</dc:title>
  <dc:creator>Roger Schmid</dc:creator>
  <cp:lastModifiedBy>Roger Schmid</cp:lastModifiedBy>
  <cp:revision>6</cp:revision>
  <cp:lastPrinted>2008-03-06T08:16:00Z</cp:lastPrinted>
  <dcterms:created xsi:type="dcterms:W3CDTF">2016-06-17T15:29:00Z</dcterms:created>
  <dcterms:modified xsi:type="dcterms:W3CDTF">2016-06-17T16:23:00Z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ies>
</file>