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3824" w:rsidRPr="006F1AAF" w:rsidRDefault="0095018A">
      <w:pPr>
        <w:rPr>
          <w:b/>
          <w:sz w:val="12"/>
          <w:lang w:val="fr-CH"/>
        </w:rPr>
      </w:pPr>
      <w:r w:rsidRPr="006F1AAF">
        <w:rPr>
          <w:noProof/>
          <w:sz w:val="6"/>
          <w:lang w:eastAsia="de-CH"/>
        </w:rPr>
        <mc:AlternateContent>
          <mc:Choice Requires="wps">
            <w:drawing>
              <wp:anchor distT="0" distB="0" distL="114300" distR="114300" simplePos="0" relativeHeight="251657728" behindDoc="0" locked="0" layoutInCell="1" allowOverlap="1" wp14:anchorId="69C924A7" wp14:editId="648FFB79">
                <wp:simplePos x="0" y="0"/>
                <wp:positionH relativeFrom="column">
                  <wp:posOffset>43235</wp:posOffset>
                </wp:positionH>
                <wp:positionV relativeFrom="paragraph">
                  <wp:posOffset>-19161</wp:posOffset>
                </wp:positionV>
                <wp:extent cx="5991225" cy="397565"/>
                <wp:effectExtent l="0" t="0" r="2857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97565"/>
                        </a:xfrm>
                        <a:prstGeom prst="rect">
                          <a:avLst/>
                        </a:prstGeom>
                        <a:solidFill>
                          <a:srgbClr val="FFFFFF"/>
                        </a:solidFill>
                        <a:ln w="9525">
                          <a:solidFill>
                            <a:srgbClr val="000000"/>
                          </a:solidFill>
                          <a:miter lim="800000"/>
                          <a:headEnd/>
                          <a:tailEnd/>
                        </a:ln>
                      </wps:spPr>
                      <wps:txbx>
                        <w:txbxContent>
                          <w:p w:rsidR="003219BF" w:rsidRPr="003219BF" w:rsidRDefault="000E4A98">
                            <w:pPr>
                              <w:spacing w:before="0"/>
                              <w:jc w:val="center"/>
                              <w:rPr>
                                <w:b/>
                                <w:bCs/>
                                <w:lang w:val="fr-CH"/>
                              </w:rPr>
                            </w:pPr>
                            <w:r w:rsidRPr="000E4A98">
                              <w:rPr>
                                <w:b/>
                                <w:bCs/>
                                <w:lang w:val="fr-CH"/>
                              </w:rPr>
                              <w:t>CEAS Centre Écologique Albert Schweitzer / Mise en place de systèmes de gestion durables de l’assainissement publique à Ndande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1.5pt;width:471.75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">
                <v:textbox>
                  <w:txbxContent>
                    <w:p w:rsidR="003219BF" w:rsidRPr="003219BF" w:rsidRDefault="000E4A98">
                      <w:pPr>
                        <w:spacing w:before="0"/>
                        <w:jc w:val="center"/>
                        <w:rPr>
                          <w:b/>
                          <w:bCs/>
                          <w:lang w:val="fr-CH"/>
                        </w:rPr>
                      </w:pPr>
                      <w:proofErr w:type="spellStart"/>
                      <w:r w:rsidRPr="000E4A98">
                        <w:rPr>
                          <w:b/>
                          <w:bCs/>
                          <w:lang w:val="fr-CH"/>
                        </w:rPr>
                        <w:t>CEAS</w:t>
                      </w:r>
                      <w:proofErr w:type="spellEnd"/>
                      <w:r w:rsidRPr="000E4A98">
                        <w:rPr>
                          <w:b/>
                          <w:bCs/>
                          <w:lang w:val="fr-CH"/>
                        </w:rPr>
                        <w:t xml:space="preserve"> Centre Écologique Albert Schweitzer / Mise en place de systèmes de gestion durables de l’assainissement publique à </w:t>
                      </w:r>
                      <w:proofErr w:type="spellStart"/>
                      <w:r w:rsidRPr="000E4A98">
                        <w:rPr>
                          <w:b/>
                          <w:bCs/>
                          <w:lang w:val="fr-CH"/>
                        </w:rPr>
                        <w:t>Ndande</w:t>
                      </w:r>
                      <w:proofErr w:type="spellEnd"/>
                    </w:p>
                  </w:txbxContent>
                </v:textbox>
              </v:rect>
            </w:pict>
          </mc:Fallback>
        </mc:AlternateContent>
      </w:r>
    </w:p>
    <w:p w:rsidR="00633824" w:rsidRDefault="00633824">
      <w:pPr>
        <w:rPr>
          <w:b/>
          <w:sz w:val="12"/>
          <w:lang w:val="fr-CH"/>
        </w:rPr>
      </w:pPr>
    </w:p>
    <w:p w:rsidR="000E4A98" w:rsidRPr="006F1AAF" w:rsidRDefault="000E4A98">
      <w:pPr>
        <w:rPr>
          <w:b/>
          <w:sz w:val="12"/>
          <w:lang w:val="fr-CH"/>
        </w:rPr>
      </w:pPr>
    </w:p>
    <w:p w:rsidR="00633824" w:rsidRPr="00A22EE2" w:rsidRDefault="00633824">
      <w:pPr>
        <w:spacing w:before="0" w:after="120"/>
        <w:rPr>
          <w:b/>
          <w:sz w:val="24"/>
          <w:lang w:val="fr-CH"/>
        </w:rPr>
      </w:pPr>
      <w:r w:rsidRPr="00A22EE2">
        <w:rPr>
          <w:b/>
          <w:sz w:val="24"/>
          <w:lang w:val="fr-CH"/>
        </w:rPr>
        <w:t>2</w:t>
      </w:r>
      <w:r w:rsidR="00A22EE2" w:rsidRPr="00A22EE2">
        <w:rPr>
          <w:b/>
          <w:sz w:val="24"/>
          <w:vertAlign w:val="superscript"/>
          <w:lang w:val="fr-CH"/>
        </w:rPr>
        <w:t>ème</w:t>
      </w:r>
      <w:r w:rsidR="00DB3438">
        <w:rPr>
          <w:b/>
          <w:sz w:val="24"/>
          <w:lang w:val="fr-CH"/>
        </w:rPr>
        <w:t xml:space="preserve"> opinion AGUASAN</w:t>
      </w:r>
      <w:r w:rsidRPr="00A22EE2">
        <w:rPr>
          <w:bCs/>
          <w:sz w:val="24"/>
          <w:lang w:val="fr-CH"/>
        </w:rPr>
        <w:t>:</w:t>
      </w:r>
    </w:p>
    <w:tbl>
      <w:tblPr>
        <w:tblW w:w="0" w:type="auto"/>
        <w:jc w:val="center"/>
        <w:tblInd w:w="-5" w:type="dxa"/>
        <w:tblLayout w:type="fixed"/>
        <w:tblLook w:val="0000" w:firstRow="0" w:lastRow="0" w:firstColumn="0" w:lastColumn="0" w:noHBand="0" w:noVBand="0"/>
      </w:tblPr>
      <w:tblGrid>
        <w:gridCol w:w="9498"/>
      </w:tblGrid>
      <w:tr w:rsidR="00633824" w:rsidRPr="00A22EE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633824" w:rsidRPr="00A22EE2" w:rsidRDefault="00A22EE2">
            <w:pPr>
              <w:snapToGrid w:val="0"/>
              <w:spacing w:before="40" w:after="40"/>
              <w:rPr>
                <w:b/>
                <w:sz w:val="18"/>
                <w:lang w:val="fr-CH"/>
              </w:rPr>
            </w:pPr>
            <w:r w:rsidRPr="00A22EE2">
              <w:rPr>
                <w:b/>
                <w:sz w:val="18"/>
                <w:lang w:val="fr-CH"/>
              </w:rPr>
              <w:t>Recommandation</w:t>
            </w:r>
            <w:r w:rsidR="00633824" w:rsidRPr="00A22EE2">
              <w:rPr>
                <w:b/>
                <w:sz w:val="18"/>
                <w:lang w:val="fr-CH"/>
              </w:rPr>
              <w:t xml:space="preserve"> (conclusions</w:t>
            </w:r>
            <w:r>
              <w:rPr>
                <w:b/>
                <w:sz w:val="18"/>
                <w:lang w:val="fr-CH"/>
              </w:rPr>
              <w:t xml:space="preserve"> de l’appréciation</w:t>
            </w:r>
            <w:r w:rsidR="00633824" w:rsidRPr="00A22EE2">
              <w:rPr>
                <w:b/>
                <w:sz w:val="18"/>
                <w:lang w:val="fr-CH"/>
              </w:rPr>
              <w:t>)</w:t>
            </w:r>
          </w:p>
        </w:tc>
      </w:tr>
      <w:tr w:rsidR="00592839" w:rsidRPr="00592839">
        <w:trPr>
          <w:trHeight w:val="64"/>
          <w:jc w:val="center"/>
        </w:trPr>
        <w:tc>
          <w:tcPr>
            <w:tcW w:w="9498" w:type="dxa"/>
            <w:tcBorders>
              <w:left w:val="single" w:sz="4" w:space="0" w:color="000000"/>
              <w:bottom w:val="single" w:sz="4" w:space="0" w:color="000000"/>
              <w:right w:val="single" w:sz="4" w:space="0" w:color="000000"/>
            </w:tcBorders>
          </w:tcPr>
          <w:p w:rsidR="00633824" w:rsidRPr="00592839" w:rsidRDefault="00723749" w:rsidP="00A371EE">
            <w:pPr>
              <w:snapToGrid w:val="0"/>
              <w:spacing w:before="40" w:after="40"/>
              <w:rPr>
                <w:sz w:val="18"/>
                <w:lang w:val="fr-CH"/>
              </w:rPr>
            </w:pPr>
            <w:r w:rsidRPr="00592839">
              <w:rPr>
                <w:sz w:val="18"/>
                <w:lang w:val="fr-CH"/>
              </w:rPr>
              <w:t>Le proj</w:t>
            </w:r>
            <w:bookmarkStart w:id="0" w:name="_GoBack"/>
            <w:bookmarkEnd w:id="0"/>
            <w:r w:rsidRPr="00592839">
              <w:rPr>
                <w:sz w:val="18"/>
                <w:lang w:val="fr-CH"/>
              </w:rPr>
              <w:t>et est recommandé pour être financé à travers Solidarit’eau</w:t>
            </w:r>
            <w:r w:rsidR="00A371EE" w:rsidRPr="00592839">
              <w:rPr>
                <w:sz w:val="18"/>
                <w:lang w:val="fr-CH"/>
              </w:rPr>
              <w:t>: il est pertinent, faisable, conçu de manière appropriée avec une bonne perspective d’atteindre les objectifs, s’inscrivant dans une dynamique de partenariat déjà lancée depuis 2010 et ancré avec une association travaillant depuis 20 ans déjà avec la commune concernée.</w:t>
            </w:r>
            <w:r w:rsidR="0075310F" w:rsidRPr="00592839">
              <w:rPr>
                <w:sz w:val="18"/>
                <w:lang w:val="fr-CH"/>
              </w:rPr>
              <w:t xml:space="preserve"> </w:t>
            </w:r>
            <w:r w:rsidR="001D4600" w:rsidRPr="00592839">
              <w:rPr>
                <w:sz w:val="18"/>
                <w:lang w:val="fr-CH"/>
              </w:rPr>
              <w:t xml:space="preserve">Une attention particulière devrait être accordée aux risques identifiés ci-dessous, c.à.d. </w:t>
            </w:r>
            <w:r w:rsidR="00A371EE" w:rsidRPr="00592839">
              <w:rPr>
                <w:sz w:val="18"/>
                <w:lang w:val="fr-CH"/>
              </w:rPr>
              <w:t xml:space="preserve">la connexion effective, adéquate et durable des installations au réseau d’eau national, la durabilité financière à long-terme des installations sanitaires et d’eau potable, et </w:t>
            </w:r>
            <w:r w:rsidR="00592839" w:rsidRPr="00592839">
              <w:rPr>
                <w:sz w:val="18"/>
                <w:lang w:val="fr-CH"/>
              </w:rPr>
              <w:t>la pérennisation de l’éducation à l’hygiène dans les écoles et la communauté.</w:t>
            </w:r>
          </w:p>
        </w:tc>
      </w:tr>
      <w:tr w:rsidR="00633824" w:rsidRPr="00A22EE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633824" w:rsidRPr="00A22EE2" w:rsidRDefault="00A22EE2">
            <w:pPr>
              <w:snapToGrid w:val="0"/>
              <w:spacing w:before="40" w:after="40"/>
              <w:rPr>
                <w:b/>
                <w:sz w:val="18"/>
                <w:lang w:val="fr-CH"/>
              </w:rPr>
            </w:pPr>
            <w:r>
              <w:rPr>
                <w:b/>
                <w:sz w:val="18"/>
                <w:lang w:val="fr-CH"/>
              </w:rPr>
              <w:t>1. Pertinence (bien-fondé)</w:t>
            </w:r>
            <w:r w:rsidR="00633824" w:rsidRPr="00A22EE2">
              <w:rPr>
                <w:b/>
                <w:sz w:val="18"/>
                <w:lang w:val="fr-CH"/>
              </w:rPr>
              <w:t xml:space="preserve"> </w:t>
            </w:r>
            <w:r>
              <w:rPr>
                <w:b/>
                <w:sz w:val="18"/>
                <w:lang w:val="fr-CH"/>
              </w:rPr>
              <w:t>du projet</w:t>
            </w:r>
          </w:p>
        </w:tc>
      </w:tr>
      <w:tr w:rsidR="00872DF5" w:rsidRPr="00872DF5">
        <w:trPr>
          <w:trHeight w:val="64"/>
          <w:jc w:val="center"/>
        </w:trPr>
        <w:tc>
          <w:tcPr>
            <w:tcW w:w="9498" w:type="dxa"/>
            <w:tcBorders>
              <w:left w:val="single" w:sz="4" w:space="0" w:color="000000"/>
              <w:bottom w:val="single" w:sz="4" w:space="0" w:color="000000"/>
              <w:right w:val="single" w:sz="4" w:space="0" w:color="000000"/>
            </w:tcBorders>
          </w:tcPr>
          <w:p w:rsidR="00633824" w:rsidRPr="00872DF5" w:rsidRDefault="00723749" w:rsidP="003219BF">
            <w:pPr>
              <w:snapToGrid w:val="0"/>
              <w:spacing w:before="40" w:after="40"/>
              <w:rPr>
                <w:sz w:val="18"/>
                <w:lang w:val="fr-CH"/>
              </w:rPr>
            </w:pPr>
            <w:r w:rsidRPr="00872DF5">
              <w:rPr>
                <w:sz w:val="18"/>
                <w:lang w:val="fr-CH"/>
              </w:rPr>
              <w:t xml:space="preserve">Le projet est considéré </w:t>
            </w:r>
            <w:r w:rsidR="0075310F" w:rsidRPr="00872DF5">
              <w:rPr>
                <w:sz w:val="18"/>
                <w:lang w:val="fr-CH"/>
              </w:rPr>
              <w:t>étant très pertinent</w:t>
            </w:r>
            <w:r w:rsidR="003219BF" w:rsidRPr="00872DF5">
              <w:rPr>
                <w:sz w:val="18"/>
                <w:lang w:val="fr-CH"/>
              </w:rPr>
              <w:t>,</w:t>
            </w:r>
            <w:r w:rsidR="0075310F" w:rsidRPr="00872DF5">
              <w:rPr>
                <w:sz w:val="18"/>
                <w:lang w:val="fr-CH"/>
              </w:rPr>
              <w:t xml:space="preserve"> </w:t>
            </w:r>
            <w:r w:rsidR="00872DF5" w:rsidRPr="00872DF5">
              <w:rPr>
                <w:sz w:val="18"/>
                <w:lang w:val="fr-CH"/>
              </w:rPr>
              <w:t xml:space="preserve">répondant à un besoin exprimé de la communauté et adressant de manière approprié un problème d’assainissement aigu au niveau du marché public et des écoles de la commune – ceci d’autant plus qu’il s’inscrit dans un programme existant d’appui à la maîtrise d’ouvrage communale des mêmes acteurs et adressant la salubrité publique </w:t>
            </w:r>
            <w:r w:rsidR="00872DF5">
              <w:rPr>
                <w:sz w:val="18"/>
                <w:lang w:val="fr-CH"/>
              </w:rPr>
              <w:t xml:space="preserve">également concernant l’aspect de gestion des déchets solides. </w:t>
            </w:r>
            <w:r w:rsidR="00F12940">
              <w:rPr>
                <w:sz w:val="18"/>
                <w:lang w:val="fr-CH"/>
              </w:rPr>
              <w:t>Il</w:t>
            </w:r>
            <w:r w:rsidR="00872DF5">
              <w:rPr>
                <w:sz w:val="18"/>
                <w:lang w:val="fr-CH"/>
              </w:rPr>
              <w:t xml:space="preserve"> vise </w:t>
            </w:r>
            <w:r w:rsidR="00F12940">
              <w:rPr>
                <w:sz w:val="18"/>
                <w:lang w:val="fr-CH"/>
              </w:rPr>
              <w:t>~</w:t>
            </w:r>
            <w:r w:rsidR="00872DF5">
              <w:rPr>
                <w:sz w:val="18"/>
                <w:lang w:val="fr-CH"/>
              </w:rPr>
              <w:t xml:space="preserve">2'000 personnes directement (élèves et commerçants) tout en ayant un impact indirect sur les 8'000 personnes de la communauté de par leurs activités autour des écoles et du marché, et la </w:t>
            </w:r>
            <w:r w:rsidR="00F12940">
              <w:rPr>
                <w:sz w:val="18"/>
                <w:lang w:val="fr-CH"/>
              </w:rPr>
              <w:t>sensibilisation à l’hygiène (changement de comportement) de la campagne et de sa « démultiplication » (enfants-parents-communauté). Le projet s’inscrit dans la logique des Objectifs de Développement Durables 2030 en matière d’eau et d’assainissement, préconisant un effort accru ne seulement au niveau des ménages mais également au niveau des lieux publics et institutions.</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rsidP="00A22EE2">
            <w:pPr>
              <w:tabs>
                <w:tab w:val="left" w:pos="2393"/>
              </w:tabs>
              <w:snapToGrid w:val="0"/>
              <w:spacing w:before="40" w:after="40"/>
              <w:rPr>
                <w:b/>
                <w:sz w:val="18"/>
                <w:lang w:val="fr-CH"/>
              </w:rPr>
            </w:pPr>
            <w:r w:rsidRPr="00A22EE2">
              <w:rPr>
                <w:b/>
                <w:sz w:val="18"/>
                <w:lang w:val="fr-CH"/>
              </w:rPr>
              <w:t xml:space="preserve">2. </w:t>
            </w:r>
            <w:r w:rsidR="00A22EE2">
              <w:rPr>
                <w:b/>
                <w:sz w:val="18"/>
                <w:lang w:val="fr-CH"/>
              </w:rPr>
              <w:t xml:space="preserve">Objectives (et indicateurs) sont-ils SMART? </w:t>
            </w:r>
            <w:r w:rsidR="00A22EE2" w:rsidRPr="00A22EE2">
              <w:rPr>
                <w:sz w:val="16"/>
                <w:szCs w:val="16"/>
                <w:lang w:val="fr-CH"/>
              </w:rPr>
              <w:t>(</w:t>
            </w:r>
            <w:r w:rsidR="00A22EE2" w:rsidRPr="00A22EE2">
              <w:rPr>
                <w:sz w:val="16"/>
                <w:szCs w:val="16"/>
                <w:u w:val="single"/>
                <w:lang w:val="fr-CH"/>
              </w:rPr>
              <w:t>S</w:t>
            </w:r>
            <w:r w:rsidR="00A22EE2" w:rsidRPr="00A22EE2">
              <w:rPr>
                <w:sz w:val="16"/>
                <w:szCs w:val="16"/>
                <w:lang w:val="fr-CH"/>
              </w:rPr>
              <w:t xml:space="preserve">pécifiques, </w:t>
            </w:r>
            <w:r w:rsidR="00A22EE2" w:rsidRPr="00A22EE2">
              <w:rPr>
                <w:sz w:val="16"/>
                <w:szCs w:val="16"/>
                <w:u w:val="single"/>
                <w:lang w:val="fr-CH"/>
              </w:rPr>
              <w:t>M</w:t>
            </w:r>
            <w:r w:rsidR="00A22EE2" w:rsidRPr="00A22EE2">
              <w:rPr>
                <w:sz w:val="16"/>
                <w:szCs w:val="16"/>
                <w:lang w:val="fr-CH"/>
              </w:rPr>
              <w:t>esurable</w:t>
            </w:r>
            <w:r w:rsidR="00A22EE2">
              <w:rPr>
                <w:sz w:val="16"/>
                <w:szCs w:val="16"/>
                <w:lang w:val="fr-CH"/>
              </w:rPr>
              <w:t>s</w:t>
            </w:r>
            <w:r w:rsidR="00A22EE2" w:rsidRPr="00A22EE2">
              <w:rPr>
                <w:sz w:val="16"/>
                <w:szCs w:val="16"/>
                <w:lang w:val="fr-CH"/>
              </w:rPr>
              <w:t xml:space="preserve">, </w:t>
            </w:r>
            <w:r w:rsidR="00A22EE2" w:rsidRPr="00A22EE2">
              <w:rPr>
                <w:sz w:val="16"/>
                <w:szCs w:val="16"/>
                <w:u w:val="single"/>
                <w:lang w:val="fr-CH"/>
              </w:rPr>
              <w:t>A</w:t>
            </w:r>
            <w:r w:rsidR="00A22EE2" w:rsidRPr="00A22EE2">
              <w:rPr>
                <w:sz w:val="16"/>
                <w:szCs w:val="16"/>
                <w:lang w:val="fr-CH"/>
              </w:rPr>
              <w:t>tteignable</w:t>
            </w:r>
            <w:r w:rsidR="00A22EE2">
              <w:rPr>
                <w:sz w:val="16"/>
                <w:szCs w:val="16"/>
                <w:lang w:val="fr-CH"/>
              </w:rPr>
              <w:t>s</w:t>
            </w:r>
            <w:r w:rsidR="00A22EE2" w:rsidRPr="00A22EE2">
              <w:rPr>
                <w:sz w:val="16"/>
                <w:szCs w:val="16"/>
                <w:lang w:val="fr-CH"/>
              </w:rPr>
              <w:t xml:space="preserve">, </w:t>
            </w:r>
            <w:r w:rsidR="00A22EE2" w:rsidRPr="00A22EE2">
              <w:rPr>
                <w:sz w:val="16"/>
                <w:szCs w:val="16"/>
                <w:u w:val="single"/>
                <w:lang w:val="fr-CH"/>
              </w:rPr>
              <w:t>R</w:t>
            </w:r>
            <w:r w:rsidR="00A22EE2" w:rsidRPr="00A22EE2">
              <w:rPr>
                <w:sz w:val="16"/>
                <w:szCs w:val="16"/>
                <w:lang w:val="fr-CH"/>
              </w:rPr>
              <w:t xml:space="preserve">éalistes, définis dans le </w:t>
            </w:r>
            <w:r w:rsidR="00A22EE2" w:rsidRPr="00A22EE2">
              <w:rPr>
                <w:sz w:val="16"/>
                <w:szCs w:val="16"/>
                <w:u w:val="single"/>
                <w:lang w:val="fr-CH"/>
              </w:rPr>
              <w:t>T</w:t>
            </w:r>
            <w:r w:rsidR="00A22EE2" w:rsidRPr="00A22EE2">
              <w:rPr>
                <w:sz w:val="16"/>
                <w:szCs w:val="16"/>
                <w:lang w:val="fr-CH"/>
              </w:rPr>
              <w:t>emps)</w:t>
            </w:r>
          </w:p>
        </w:tc>
      </w:tr>
      <w:tr w:rsidR="0098326D" w:rsidRPr="0098326D">
        <w:trPr>
          <w:trHeight w:val="64"/>
          <w:jc w:val="center"/>
        </w:trPr>
        <w:tc>
          <w:tcPr>
            <w:tcW w:w="9498" w:type="dxa"/>
            <w:tcBorders>
              <w:left w:val="single" w:sz="4" w:space="0" w:color="000000"/>
              <w:bottom w:val="single" w:sz="4" w:space="0" w:color="000000"/>
              <w:right w:val="single" w:sz="4" w:space="0" w:color="000000"/>
            </w:tcBorders>
          </w:tcPr>
          <w:p w:rsidR="00325D7F" w:rsidRDefault="00233483" w:rsidP="00325D7F">
            <w:pPr>
              <w:spacing w:before="40" w:after="40"/>
              <w:rPr>
                <w:sz w:val="18"/>
                <w:lang w:val="fr-CH"/>
              </w:rPr>
            </w:pPr>
            <w:r w:rsidRPr="00233483">
              <w:rPr>
                <w:sz w:val="18"/>
                <w:lang w:val="fr-CH"/>
              </w:rPr>
              <w:t xml:space="preserve">Les objectifs du projet sont spécifiques (mise en place des installations et leur gestion, changement de comporte-ment des populations cibles) et </w:t>
            </w:r>
            <w:r w:rsidR="0056620E">
              <w:rPr>
                <w:sz w:val="18"/>
                <w:lang w:val="fr-CH"/>
              </w:rPr>
              <w:t>réalistes</w:t>
            </w:r>
            <w:r w:rsidRPr="00233483">
              <w:rPr>
                <w:sz w:val="18"/>
                <w:lang w:val="fr-CH"/>
              </w:rPr>
              <w:t>, munis d’indicateurs (couverture, fréquence d’utilisation, pourcentage de lavage des mains) mesurables.</w:t>
            </w:r>
            <w:r>
              <w:rPr>
                <w:sz w:val="18"/>
                <w:lang w:val="fr-CH"/>
              </w:rPr>
              <w:t xml:space="preserve"> La réalisation de ces objectives en l’espace de 18 mois et cependant ambitieux.</w:t>
            </w:r>
            <w:r w:rsidR="0056620E">
              <w:rPr>
                <w:sz w:val="18"/>
                <w:lang w:val="fr-CH"/>
              </w:rPr>
              <w:t xml:space="preserve"> Les effets indirects attendus un ce qui concerne la réduction du nombre d’urinoirs sauvages au niveau du marché central semble atteignable, tandis que la réduction de 5% des maladies liées à l’hygiène au sein des écoles sera difficilement mesurable et probablement non-significatif.</w:t>
            </w:r>
          </w:p>
          <w:p w:rsidR="00CB29B5" w:rsidRPr="00074999" w:rsidRDefault="00325D7F" w:rsidP="00325D7F">
            <w:pPr>
              <w:spacing w:before="40" w:after="40"/>
              <w:rPr>
                <w:sz w:val="18"/>
                <w:lang w:val="fr-CH"/>
              </w:rPr>
            </w:pPr>
            <w:r>
              <w:rPr>
                <w:sz w:val="18"/>
                <w:lang w:val="fr-CH"/>
              </w:rPr>
              <w:t>D’autre part, l</w:t>
            </w:r>
            <w:r w:rsidR="006244C8">
              <w:rPr>
                <w:sz w:val="18"/>
                <w:lang w:val="fr-CH"/>
              </w:rPr>
              <w:t xml:space="preserve">e nombre d’élèves par toilette dans les écoles, </w:t>
            </w:r>
            <w:r>
              <w:rPr>
                <w:sz w:val="18"/>
                <w:lang w:val="fr-CH"/>
              </w:rPr>
              <w:t xml:space="preserve">prévu </w:t>
            </w:r>
            <w:r w:rsidR="006244C8">
              <w:rPr>
                <w:sz w:val="18"/>
                <w:lang w:val="fr-CH"/>
              </w:rPr>
              <w:t>d’être amené à moins de 50 élèves</w:t>
            </w:r>
            <w:r>
              <w:rPr>
                <w:sz w:val="18"/>
                <w:lang w:val="fr-CH"/>
              </w:rPr>
              <w:t xml:space="preserve"> dans toutes les écoles du village</w:t>
            </w:r>
            <w:r w:rsidR="006244C8">
              <w:rPr>
                <w:sz w:val="18"/>
                <w:lang w:val="fr-CH"/>
              </w:rPr>
              <w:t xml:space="preserve">, doit être considéré comme un standard minimal (les meilleures pratiques </w:t>
            </w:r>
            <w:r>
              <w:rPr>
                <w:sz w:val="18"/>
                <w:lang w:val="fr-CH"/>
              </w:rPr>
              <w:t xml:space="preserve">selon l’UNICEF </w:t>
            </w:r>
            <w:r w:rsidR="006244C8">
              <w:rPr>
                <w:sz w:val="18"/>
                <w:lang w:val="fr-CH"/>
              </w:rPr>
              <w:t xml:space="preserve">visant 20–40 </w:t>
            </w:r>
            <w:r>
              <w:rPr>
                <w:sz w:val="18"/>
                <w:lang w:val="fr-CH"/>
              </w:rPr>
              <w:t>élèves</w:t>
            </w:r>
            <w:r w:rsidR="006244C8">
              <w:rPr>
                <w:sz w:val="18"/>
                <w:lang w:val="fr-CH"/>
              </w:rPr>
              <w:t xml:space="preserve"> par toilette) et être conçu de manière à permettre l’extension ultérieure des installations.</w:t>
            </w:r>
          </w:p>
        </w:tc>
      </w:tr>
      <w:tr w:rsidR="00633824" w:rsidRPr="00A22EE2">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633824" w:rsidRPr="00A22EE2" w:rsidRDefault="00633824">
            <w:pPr>
              <w:tabs>
                <w:tab w:val="left" w:pos="2592"/>
              </w:tabs>
              <w:snapToGrid w:val="0"/>
              <w:spacing w:before="40" w:after="40"/>
              <w:rPr>
                <w:b/>
                <w:sz w:val="18"/>
                <w:lang w:val="fr-CH"/>
              </w:rPr>
            </w:pPr>
            <w:r w:rsidRPr="00A22EE2">
              <w:rPr>
                <w:b/>
                <w:sz w:val="18"/>
                <w:lang w:val="fr-CH"/>
              </w:rPr>
              <w:t xml:space="preserve">3. </w:t>
            </w:r>
            <w:r w:rsidR="00A22EE2">
              <w:rPr>
                <w:b/>
                <w:sz w:val="18"/>
                <w:lang w:val="fr-CH"/>
              </w:rPr>
              <w:t>Approches proposées</w:t>
            </w:r>
          </w:p>
        </w:tc>
      </w:tr>
      <w:tr w:rsidR="002407C6" w:rsidRPr="002407C6">
        <w:trPr>
          <w:jc w:val="center"/>
        </w:trPr>
        <w:tc>
          <w:tcPr>
            <w:tcW w:w="9498" w:type="dxa"/>
            <w:tcBorders>
              <w:left w:val="single" w:sz="4" w:space="0" w:color="000000"/>
              <w:bottom w:val="single" w:sz="4" w:space="0" w:color="000000"/>
              <w:right w:val="single" w:sz="4" w:space="0" w:color="000000"/>
            </w:tcBorders>
          </w:tcPr>
          <w:p w:rsidR="00341EF5" w:rsidRPr="002407C6" w:rsidRDefault="00173385" w:rsidP="00341EF5">
            <w:pPr>
              <w:snapToGrid w:val="0"/>
              <w:spacing w:before="40" w:after="40"/>
              <w:rPr>
                <w:sz w:val="18"/>
                <w:lang w:val="fr-CH"/>
              </w:rPr>
            </w:pPr>
            <w:r w:rsidRPr="002407C6">
              <w:rPr>
                <w:sz w:val="18"/>
                <w:lang w:val="fr-CH"/>
              </w:rPr>
              <w:t xml:space="preserve">L’approche </w:t>
            </w:r>
            <w:r w:rsidR="00341EF5" w:rsidRPr="002407C6">
              <w:rPr>
                <w:sz w:val="18"/>
                <w:lang w:val="fr-CH"/>
              </w:rPr>
              <w:t>participative proposée attribue des rôles et responsabilités claires et adéquates aux acteurs clés (équipe de projet, comité de pilotage, comité technique, organisations communautaires de base, gérants, association des parents d’élèves et partenaires techniques) dans la conception, réalisation et gestion des interventions. L’engage-ment clé des autorités municipales (garants de l</w:t>
            </w:r>
            <w:r w:rsidR="00680FBA" w:rsidRPr="002407C6">
              <w:rPr>
                <w:sz w:val="18"/>
                <w:lang w:val="fr-CH"/>
              </w:rPr>
              <w:t xml:space="preserve">a durabilité des interventions), </w:t>
            </w:r>
            <w:r w:rsidR="00341EF5" w:rsidRPr="002407C6">
              <w:rPr>
                <w:sz w:val="18"/>
                <w:lang w:val="fr-CH"/>
              </w:rPr>
              <w:t xml:space="preserve">et </w:t>
            </w:r>
            <w:r w:rsidR="00680FBA" w:rsidRPr="002407C6">
              <w:rPr>
                <w:sz w:val="18"/>
                <w:lang w:val="fr-CH"/>
              </w:rPr>
              <w:t xml:space="preserve">surtout </w:t>
            </w:r>
            <w:r w:rsidR="00341EF5" w:rsidRPr="002407C6">
              <w:rPr>
                <w:sz w:val="18"/>
                <w:lang w:val="fr-CH"/>
              </w:rPr>
              <w:t>de la société nationale des eaux (garants de la connexion à l’eau potable, curial pour le lavage des mains et la propreté des installations) est peu développé dans l’approche et est à renforcer considérablement.</w:t>
            </w:r>
          </w:p>
          <w:p w:rsidR="00633824" w:rsidRPr="002407C6" w:rsidRDefault="00680FBA" w:rsidP="002407C6">
            <w:pPr>
              <w:snapToGrid w:val="0"/>
              <w:spacing w:before="40" w:after="40"/>
              <w:rPr>
                <w:sz w:val="18"/>
                <w:lang w:val="fr-CH"/>
              </w:rPr>
            </w:pPr>
            <w:r w:rsidRPr="002407C6">
              <w:rPr>
                <w:sz w:val="18"/>
                <w:lang w:val="fr-CH"/>
              </w:rPr>
              <w:t xml:space="preserve">Au-delà de ces aspects organisationnels/institutionnels et sociaux, les aspects techniques, environnementaux et économiques sont abordés de manière appropriés mais sans pour autant aller jusqu’au bout. Par exemple, la gestion (réutilisation / mis en site) des produits accumulés issues de l’utilisation des toilettes n’est pas encore explicitement considéré, </w:t>
            </w:r>
            <w:r w:rsidR="002407C6" w:rsidRPr="002407C6">
              <w:rPr>
                <w:sz w:val="18"/>
                <w:lang w:val="fr-CH"/>
              </w:rPr>
              <w:t>tout comme le calcul des coûts détaillés de gestion des installations et leur recouvrement.</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t xml:space="preserve">4. </w:t>
            </w:r>
            <w:r w:rsidR="00D52C36">
              <w:rPr>
                <w:b/>
                <w:sz w:val="18"/>
                <w:lang w:val="fr-CH"/>
              </w:rPr>
              <w:t>Résultats attendus du projet et leur durabilité escomptée</w:t>
            </w:r>
          </w:p>
        </w:tc>
      </w:tr>
      <w:tr w:rsidR="0098326D" w:rsidRPr="0098326D">
        <w:trPr>
          <w:jc w:val="center"/>
        </w:trPr>
        <w:tc>
          <w:tcPr>
            <w:tcW w:w="9498" w:type="dxa"/>
            <w:tcBorders>
              <w:left w:val="single" w:sz="4" w:space="0" w:color="000000"/>
              <w:bottom w:val="single" w:sz="4" w:space="0" w:color="000000"/>
              <w:right w:val="single" w:sz="4" w:space="0" w:color="000000"/>
            </w:tcBorders>
          </w:tcPr>
          <w:p w:rsidR="00173385" w:rsidRPr="00173385" w:rsidRDefault="00173385" w:rsidP="003219BF">
            <w:pPr>
              <w:snapToGrid w:val="0"/>
              <w:spacing w:before="40" w:after="40"/>
              <w:rPr>
                <w:sz w:val="18"/>
                <w:lang w:val="fr-CH"/>
              </w:rPr>
            </w:pPr>
            <w:r w:rsidRPr="00173385">
              <w:rPr>
                <w:sz w:val="18"/>
                <w:lang w:val="fr-CH"/>
              </w:rPr>
              <w:t>Les impacts généraux attendus du projet sont d’une part une amélioration de la santé et des conditions de vie de la population cible à travers des meilleures conditions d’hygiène et de salubrité dans les lieux publics (marché) et dans les écoles (y compris du taux de présence dans les écoles)</w:t>
            </w:r>
            <w:r>
              <w:rPr>
                <w:sz w:val="18"/>
                <w:lang w:val="fr-CH"/>
              </w:rPr>
              <w:t xml:space="preserve">. D’autre part, il renforce la gouvernance et la concerta-tion locale dans l’identification et le solutionnement de problèmes publics. </w:t>
            </w:r>
          </w:p>
          <w:p w:rsidR="00DA7782" w:rsidRPr="0098326D" w:rsidRDefault="00DA7782" w:rsidP="00DA7782">
            <w:pPr>
              <w:snapToGrid w:val="0"/>
              <w:spacing w:before="40" w:after="40"/>
              <w:rPr>
                <w:color w:val="4F81BD" w:themeColor="accent1"/>
                <w:sz w:val="18"/>
                <w:lang w:val="fr-CH"/>
              </w:rPr>
            </w:pPr>
            <w:r w:rsidRPr="00DA7782">
              <w:rPr>
                <w:sz w:val="18"/>
                <w:lang w:val="fr-CH"/>
              </w:rPr>
              <w:t>Au-delà de la conception et réalisation des installations selon les meilleures pratiques techniques, les gages de durabilité des interventions sont le changement effectif et soutenu de comportement des populations cibles et la viabilité financière à long-terme des installations sanitaires et d’eau potable (gestion et réinvestissements)</w:t>
            </w:r>
            <w:r>
              <w:rPr>
                <w:sz w:val="18"/>
                <w:lang w:val="fr-CH"/>
              </w:rPr>
              <w:t xml:space="preserve">. </w:t>
            </w:r>
            <w:r w:rsidR="0099288D">
              <w:rPr>
                <w:sz w:val="18"/>
                <w:lang w:val="fr-CH"/>
              </w:rPr>
              <w:t xml:space="preserve">En ce qui concerne le premier aspect, l’information, l’éducation et la communication semble être assez ponctuelle et limitée à la durée de l’intervention: il devrait être renforcé par un effort d’intégrer l’éducation à l’hygiène dans les pratiques enseignées / le curriculum éducatif dans les écoles et des actions d’animation dans les communautés y découlant. En ce qui concerne la viabilité financière, un budget dédié au niveau de la municipalité et des écoles </w:t>
            </w:r>
            <w:r w:rsidR="00173385">
              <w:rPr>
                <w:sz w:val="18"/>
                <w:lang w:val="fr-CH"/>
              </w:rPr>
              <w:t>est crucial (cf. risques ci-dessous).</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t xml:space="preserve">5. </w:t>
            </w:r>
            <w:r w:rsidR="00D52C36">
              <w:rPr>
                <w:b/>
                <w:sz w:val="18"/>
                <w:lang w:val="fr-CH"/>
              </w:rPr>
              <w:t>Risques et leur</w:t>
            </w:r>
            <w:r w:rsidRPr="00A22EE2">
              <w:rPr>
                <w:b/>
                <w:sz w:val="18"/>
                <w:lang w:val="fr-CH"/>
              </w:rPr>
              <w:t xml:space="preserve"> </w:t>
            </w:r>
            <w:r w:rsidR="00576201">
              <w:rPr>
                <w:b/>
                <w:sz w:val="18"/>
                <w:lang w:val="fr-CH"/>
              </w:rPr>
              <w:t>mitigation</w:t>
            </w:r>
          </w:p>
        </w:tc>
      </w:tr>
      <w:tr w:rsidR="00633824" w:rsidRPr="00A22EE2">
        <w:trPr>
          <w:jc w:val="center"/>
        </w:trPr>
        <w:tc>
          <w:tcPr>
            <w:tcW w:w="9498" w:type="dxa"/>
            <w:tcBorders>
              <w:left w:val="single" w:sz="4" w:space="0" w:color="000000"/>
              <w:bottom w:val="single" w:sz="4" w:space="0" w:color="000000"/>
              <w:right w:val="single" w:sz="4" w:space="0" w:color="000000"/>
            </w:tcBorders>
          </w:tcPr>
          <w:p w:rsidR="00222776" w:rsidRDefault="002007C7">
            <w:pPr>
              <w:snapToGrid w:val="0"/>
              <w:spacing w:before="40" w:after="40"/>
              <w:rPr>
                <w:sz w:val="18"/>
                <w:lang w:val="fr-CH"/>
              </w:rPr>
            </w:pPr>
            <w:r>
              <w:rPr>
                <w:sz w:val="18"/>
                <w:lang w:val="fr-CH"/>
              </w:rPr>
              <w:t xml:space="preserve">Le projet a identifié les risques principaux (non-engagement de la municipalité sur le long terme dans la gestion des installations et lourdeur de gestion du comité de pilotage) et les considère de manière probante comme mitigés par la dynamique </w:t>
            </w:r>
            <w:r w:rsidR="00EE7C9E">
              <w:rPr>
                <w:sz w:val="18"/>
                <w:lang w:val="fr-CH"/>
              </w:rPr>
              <w:t xml:space="preserve">et les capacités (agent technique municipal) </w:t>
            </w:r>
            <w:r>
              <w:rPr>
                <w:sz w:val="18"/>
                <w:lang w:val="fr-CH"/>
              </w:rPr>
              <w:t>déjà créée</w:t>
            </w:r>
            <w:r w:rsidR="00EE7C9E">
              <w:rPr>
                <w:sz w:val="18"/>
                <w:lang w:val="fr-CH"/>
              </w:rPr>
              <w:t>s</w:t>
            </w:r>
            <w:r>
              <w:rPr>
                <w:sz w:val="18"/>
                <w:lang w:val="fr-CH"/>
              </w:rPr>
              <w:t xml:space="preserve"> dans le cadre d’un projet </w:t>
            </w:r>
            <w:r w:rsidR="00EE7C9E">
              <w:rPr>
                <w:sz w:val="18"/>
                <w:lang w:val="fr-CH"/>
              </w:rPr>
              <w:t>de gestion des déchets</w:t>
            </w:r>
            <w:r>
              <w:rPr>
                <w:sz w:val="18"/>
                <w:lang w:val="fr-CH"/>
              </w:rPr>
              <w:t xml:space="preserve"> </w:t>
            </w:r>
            <w:r w:rsidR="00EE7C9E">
              <w:rPr>
                <w:sz w:val="18"/>
                <w:lang w:val="fr-CH"/>
              </w:rPr>
              <w:t xml:space="preserve">de la commune lancé en 2010 et par l’ancrage de l’association Yelen travaillant avec la commune depuis 20 ans. </w:t>
            </w:r>
            <w:r w:rsidR="00222776">
              <w:rPr>
                <w:sz w:val="18"/>
                <w:lang w:val="fr-CH"/>
              </w:rPr>
              <w:t>Cependant, deux risques potentiels s</w:t>
            </w:r>
            <w:r w:rsidR="00EE7C9E">
              <w:rPr>
                <w:sz w:val="18"/>
                <w:lang w:val="fr-CH"/>
              </w:rPr>
              <w:t>ont à prendre en considération:</w:t>
            </w:r>
          </w:p>
          <w:p w:rsidR="0098326D" w:rsidRDefault="00AE78C2" w:rsidP="0098326D">
            <w:pPr>
              <w:numPr>
                <w:ilvl w:val="0"/>
                <w:numId w:val="3"/>
              </w:numPr>
              <w:snapToGrid w:val="0"/>
              <w:spacing w:before="40" w:after="40"/>
              <w:ind w:left="392" w:hanging="283"/>
              <w:rPr>
                <w:sz w:val="18"/>
                <w:lang w:val="fr-CH"/>
              </w:rPr>
            </w:pPr>
            <w:r>
              <w:rPr>
                <w:sz w:val="18"/>
                <w:lang w:val="fr-CH"/>
              </w:rPr>
              <w:t xml:space="preserve">La connexion effective, adéquate et durable des installations au réseau </w:t>
            </w:r>
            <w:r w:rsidR="00C349D2">
              <w:rPr>
                <w:sz w:val="18"/>
                <w:lang w:val="fr-CH"/>
              </w:rPr>
              <w:t xml:space="preserve">d’eau national </w:t>
            </w:r>
            <w:r>
              <w:rPr>
                <w:sz w:val="18"/>
                <w:lang w:val="fr-CH"/>
              </w:rPr>
              <w:t>(</w:t>
            </w:r>
            <w:r w:rsidR="00C349D2">
              <w:rPr>
                <w:sz w:val="18"/>
                <w:lang w:val="fr-CH"/>
              </w:rPr>
              <w:t xml:space="preserve">pour </w:t>
            </w:r>
            <w:r>
              <w:rPr>
                <w:sz w:val="18"/>
                <w:lang w:val="fr-CH"/>
              </w:rPr>
              <w:t>lav</w:t>
            </w:r>
            <w:r w:rsidR="00C349D2">
              <w:rPr>
                <w:sz w:val="18"/>
                <w:lang w:val="fr-CH"/>
              </w:rPr>
              <w:t>age des mains et consommation pa</w:t>
            </w:r>
            <w:r>
              <w:rPr>
                <w:sz w:val="18"/>
                <w:lang w:val="fr-CH"/>
              </w:rPr>
              <w:t>r les écoliers et riverains) pour laquelle</w:t>
            </w:r>
            <w:r w:rsidR="001D4600">
              <w:rPr>
                <w:sz w:val="18"/>
                <w:lang w:val="fr-CH"/>
              </w:rPr>
              <w:t xml:space="preserve"> </w:t>
            </w:r>
            <w:r w:rsidR="00420B5B">
              <w:rPr>
                <w:sz w:val="18"/>
                <w:lang w:val="fr-CH"/>
              </w:rPr>
              <w:t xml:space="preserve">peu d’information </w:t>
            </w:r>
            <w:r w:rsidR="0098326D">
              <w:rPr>
                <w:sz w:val="18"/>
                <w:lang w:val="fr-CH"/>
              </w:rPr>
              <w:t>est fournie et sur laquelle le projet ne semble pas posséder d’un levier important.</w:t>
            </w:r>
            <w:r w:rsidR="00C349D2">
              <w:rPr>
                <w:sz w:val="18"/>
                <w:lang w:val="fr-CH"/>
              </w:rPr>
              <w:t xml:space="preserve"> Une non-connexion (ou tardive) aura des conséquences </w:t>
            </w:r>
            <w:r w:rsidR="00C349D2">
              <w:rPr>
                <w:sz w:val="18"/>
                <w:lang w:val="fr-CH"/>
              </w:rPr>
              <w:lastRenderedPageBreak/>
              <w:t>néfastes sur la fonctionnalité/utilisation des toilettes (p.ex. propreté) et sur l’atteinte des effets attendus (changement de comportement, lavage des mains, réduction des maladies)</w:t>
            </w:r>
            <w:r w:rsidR="00551454">
              <w:rPr>
                <w:sz w:val="18"/>
                <w:lang w:val="fr-CH"/>
              </w:rPr>
              <w:t>.</w:t>
            </w:r>
          </w:p>
          <w:p w:rsidR="00633824" w:rsidRPr="001D4600" w:rsidRDefault="001D4600" w:rsidP="00551454">
            <w:pPr>
              <w:numPr>
                <w:ilvl w:val="0"/>
                <w:numId w:val="3"/>
              </w:numPr>
              <w:snapToGrid w:val="0"/>
              <w:spacing w:before="40" w:after="40"/>
              <w:ind w:left="392" w:hanging="283"/>
              <w:rPr>
                <w:sz w:val="18"/>
                <w:lang w:val="fr-CH"/>
              </w:rPr>
            </w:pPr>
            <w:r>
              <w:rPr>
                <w:sz w:val="18"/>
                <w:lang w:val="fr-CH"/>
              </w:rPr>
              <w:t>L</w:t>
            </w:r>
            <w:r w:rsidRPr="001D4600">
              <w:rPr>
                <w:sz w:val="18"/>
                <w:lang w:val="fr-CH"/>
              </w:rPr>
              <w:t xml:space="preserve">a durabilité financière </w:t>
            </w:r>
            <w:r>
              <w:rPr>
                <w:sz w:val="18"/>
                <w:lang w:val="fr-CH"/>
              </w:rPr>
              <w:t xml:space="preserve">à long-terme </w:t>
            </w:r>
            <w:r w:rsidRPr="001D4600">
              <w:rPr>
                <w:sz w:val="18"/>
                <w:lang w:val="fr-CH"/>
              </w:rPr>
              <w:t xml:space="preserve">des </w:t>
            </w:r>
            <w:r w:rsidR="00551454">
              <w:rPr>
                <w:sz w:val="18"/>
                <w:lang w:val="fr-CH"/>
              </w:rPr>
              <w:t xml:space="preserve">installations sanitaires et d’eau potable </w:t>
            </w:r>
            <w:r w:rsidRPr="001D4600">
              <w:rPr>
                <w:sz w:val="18"/>
                <w:lang w:val="fr-CH"/>
              </w:rPr>
              <w:t>(</w:t>
            </w:r>
            <w:r w:rsidR="00551454">
              <w:rPr>
                <w:sz w:val="18"/>
                <w:lang w:val="fr-CH"/>
              </w:rPr>
              <w:t xml:space="preserve">gestion et </w:t>
            </w:r>
            <w:r w:rsidR="00551454" w:rsidRPr="001D4600">
              <w:rPr>
                <w:sz w:val="18"/>
                <w:lang w:val="fr-CH"/>
              </w:rPr>
              <w:t>ré</w:t>
            </w:r>
            <w:r w:rsidR="00551454">
              <w:rPr>
                <w:sz w:val="18"/>
                <w:lang w:val="fr-CH"/>
              </w:rPr>
              <w:t>i</w:t>
            </w:r>
            <w:r w:rsidR="00551454" w:rsidRPr="001D4600">
              <w:rPr>
                <w:sz w:val="18"/>
                <w:lang w:val="fr-CH"/>
              </w:rPr>
              <w:t>nvestissements</w:t>
            </w:r>
            <w:r>
              <w:rPr>
                <w:sz w:val="18"/>
                <w:lang w:val="fr-CH"/>
              </w:rPr>
              <w:t xml:space="preserve">) </w:t>
            </w:r>
            <w:r w:rsidR="00551454">
              <w:rPr>
                <w:sz w:val="18"/>
                <w:lang w:val="fr-CH"/>
              </w:rPr>
              <w:t xml:space="preserve">qui </w:t>
            </w:r>
            <w:r>
              <w:rPr>
                <w:sz w:val="18"/>
                <w:lang w:val="fr-CH"/>
              </w:rPr>
              <w:t>n’est</w:t>
            </w:r>
            <w:r w:rsidRPr="001D4600">
              <w:rPr>
                <w:sz w:val="18"/>
                <w:lang w:val="fr-CH"/>
              </w:rPr>
              <w:t xml:space="preserve"> pas explicitement </w:t>
            </w:r>
            <w:r w:rsidR="00551454">
              <w:rPr>
                <w:sz w:val="18"/>
                <w:lang w:val="fr-CH"/>
              </w:rPr>
              <w:t>démontrée</w:t>
            </w:r>
            <w:r>
              <w:rPr>
                <w:sz w:val="18"/>
                <w:lang w:val="fr-CH"/>
              </w:rPr>
              <w:t xml:space="preserve"> </w:t>
            </w:r>
            <w:r w:rsidRPr="001D4600">
              <w:rPr>
                <w:sz w:val="18"/>
                <w:lang w:val="fr-CH"/>
              </w:rPr>
              <w:t xml:space="preserve">et </w:t>
            </w:r>
            <w:r w:rsidR="00551454">
              <w:rPr>
                <w:sz w:val="18"/>
                <w:lang w:val="fr-CH"/>
              </w:rPr>
              <w:t xml:space="preserve">qui </w:t>
            </w:r>
            <w:r w:rsidRPr="001D4600">
              <w:rPr>
                <w:sz w:val="18"/>
                <w:lang w:val="fr-CH"/>
              </w:rPr>
              <w:t>requiert</w:t>
            </w:r>
            <w:r w:rsidR="00551454">
              <w:rPr>
                <w:sz w:val="18"/>
                <w:lang w:val="fr-CH"/>
              </w:rPr>
              <w:t>, à part du tarif d’utilisation des latrines publiques et des contributions des parents d’élèves,</w:t>
            </w:r>
            <w:r w:rsidRPr="001D4600">
              <w:rPr>
                <w:sz w:val="18"/>
                <w:lang w:val="fr-CH"/>
              </w:rPr>
              <w:t xml:space="preserve"> </w:t>
            </w:r>
            <w:r w:rsidR="00CB29B5">
              <w:rPr>
                <w:sz w:val="18"/>
                <w:lang w:val="fr-CH"/>
              </w:rPr>
              <w:t xml:space="preserve">un </w:t>
            </w:r>
            <w:r w:rsidR="00420B5B">
              <w:rPr>
                <w:sz w:val="18"/>
                <w:lang w:val="fr-CH"/>
              </w:rPr>
              <w:t xml:space="preserve">budget </w:t>
            </w:r>
            <w:r w:rsidR="00551454">
              <w:rPr>
                <w:sz w:val="18"/>
                <w:lang w:val="fr-CH"/>
              </w:rPr>
              <w:t>dédié au niveau de la municipalité et des écoles.</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lastRenderedPageBreak/>
              <w:t xml:space="preserve">6. Relation </w:t>
            </w:r>
            <w:r w:rsidR="00576201">
              <w:rPr>
                <w:b/>
                <w:sz w:val="18"/>
                <w:lang w:val="fr-CH"/>
              </w:rPr>
              <w:t>entre</w:t>
            </w:r>
            <w:r w:rsidRPr="00A22EE2">
              <w:rPr>
                <w:b/>
                <w:sz w:val="18"/>
                <w:lang w:val="fr-CH"/>
              </w:rPr>
              <w:t xml:space="preserve"> inputs </w:t>
            </w:r>
            <w:r w:rsidR="00576201">
              <w:rPr>
                <w:b/>
                <w:sz w:val="18"/>
                <w:lang w:val="fr-CH"/>
              </w:rPr>
              <w:t xml:space="preserve">(intrants) et </w:t>
            </w:r>
            <w:r w:rsidRPr="00A22EE2">
              <w:rPr>
                <w:b/>
                <w:sz w:val="18"/>
                <w:lang w:val="fr-CH"/>
              </w:rPr>
              <w:t>outputs</w:t>
            </w:r>
          </w:p>
        </w:tc>
      </w:tr>
      <w:tr w:rsidR="002007C7" w:rsidRPr="002007C7">
        <w:trPr>
          <w:jc w:val="center"/>
        </w:trPr>
        <w:tc>
          <w:tcPr>
            <w:tcW w:w="9498" w:type="dxa"/>
            <w:tcBorders>
              <w:left w:val="single" w:sz="4" w:space="0" w:color="000000"/>
              <w:bottom w:val="single" w:sz="4" w:space="0" w:color="000000"/>
              <w:right w:val="single" w:sz="4" w:space="0" w:color="000000"/>
            </w:tcBorders>
          </w:tcPr>
          <w:p w:rsidR="00633824" w:rsidRPr="000616DF" w:rsidRDefault="003B5E59" w:rsidP="000616DF">
            <w:pPr>
              <w:snapToGrid w:val="0"/>
              <w:spacing w:before="40" w:after="40"/>
              <w:rPr>
                <w:sz w:val="18"/>
                <w:lang w:val="fr-CH"/>
              </w:rPr>
            </w:pPr>
            <w:r w:rsidRPr="000616DF">
              <w:rPr>
                <w:sz w:val="18"/>
                <w:lang w:val="fr-CH"/>
              </w:rPr>
              <w:t xml:space="preserve">Le coût de l’intervention par bénéficiaire </w:t>
            </w:r>
            <w:r w:rsidR="000616DF" w:rsidRPr="000616DF">
              <w:rPr>
                <w:sz w:val="18"/>
                <w:lang w:val="fr-CH"/>
              </w:rPr>
              <w:t>direct (</w:t>
            </w:r>
            <w:r w:rsidR="000616DF">
              <w:rPr>
                <w:sz w:val="18"/>
                <w:lang w:val="fr-CH"/>
              </w:rPr>
              <w:t xml:space="preserve">2'000 </w:t>
            </w:r>
            <w:r w:rsidR="000616DF" w:rsidRPr="000616DF">
              <w:rPr>
                <w:sz w:val="18"/>
                <w:lang w:val="fr-CH"/>
              </w:rPr>
              <w:t xml:space="preserve">élèves et commerçants) </w:t>
            </w:r>
            <w:r w:rsidRPr="000616DF">
              <w:rPr>
                <w:sz w:val="18"/>
                <w:lang w:val="fr-CH"/>
              </w:rPr>
              <w:t xml:space="preserve">est </w:t>
            </w:r>
            <w:r w:rsidR="00903ECB" w:rsidRPr="000616DF">
              <w:rPr>
                <w:sz w:val="18"/>
                <w:lang w:val="fr-CH"/>
              </w:rPr>
              <w:t xml:space="preserve">budgétise à </w:t>
            </w:r>
            <w:r w:rsidRPr="000616DF">
              <w:rPr>
                <w:sz w:val="18"/>
                <w:lang w:val="fr-CH"/>
              </w:rPr>
              <w:t xml:space="preserve">CHF </w:t>
            </w:r>
            <w:r w:rsidR="000616DF" w:rsidRPr="000616DF">
              <w:rPr>
                <w:sz w:val="18"/>
                <w:lang w:val="fr-CH"/>
              </w:rPr>
              <w:t>63.</w:t>
            </w:r>
            <w:r w:rsidR="00EA0411" w:rsidRPr="000616DF">
              <w:rPr>
                <w:sz w:val="18"/>
                <w:lang w:val="fr-CH"/>
              </w:rPr>
              <w:t>-</w:t>
            </w:r>
            <w:r w:rsidR="000616DF" w:rsidRPr="000616DF">
              <w:rPr>
                <w:sz w:val="18"/>
                <w:lang w:val="fr-CH"/>
              </w:rPr>
              <w:t xml:space="preserve">, </w:t>
            </w:r>
            <w:r w:rsidRPr="000616DF">
              <w:rPr>
                <w:sz w:val="18"/>
                <w:lang w:val="fr-CH"/>
              </w:rPr>
              <w:t xml:space="preserve">adéquat pour </w:t>
            </w:r>
            <w:r w:rsidR="00DB3438" w:rsidRPr="000616DF">
              <w:rPr>
                <w:sz w:val="18"/>
                <w:lang w:val="fr-CH"/>
              </w:rPr>
              <w:t>le</w:t>
            </w:r>
            <w:r w:rsidR="00903ECB" w:rsidRPr="000616DF">
              <w:rPr>
                <w:sz w:val="18"/>
                <w:lang w:val="fr-CH"/>
              </w:rPr>
              <w:t xml:space="preserve"> contexte, </w:t>
            </w:r>
            <w:r w:rsidR="00DB3438" w:rsidRPr="000616DF">
              <w:rPr>
                <w:sz w:val="18"/>
                <w:lang w:val="fr-CH"/>
              </w:rPr>
              <w:t xml:space="preserve">type </w:t>
            </w:r>
            <w:r w:rsidR="000616DF" w:rsidRPr="000616DF">
              <w:rPr>
                <w:sz w:val="18"/>
                <w:lang w:val="fr-CH"/>
              </w:rPr>
              <w:t>d’installations</w:t>
            </w:r>
            <w:r w:rsidR="00DB3438" w:rsidRPr="000616DF">
              <w:rPr>
                <w:sz w:val="18"/>
                <w:lang w:val="fr-CH"/>
              </w:rPr>
              <w:t xml:space="preserve"> prévu</w:t>
            </w:r>
            <w:r w:rsidR="000616DF" w:rsidRPr="000616DF">
              <w:rPr>
                <w:sz w:val="18"/>
                <w:lang w:val="fr-CH"/>
              </w:rPr>
              <w:t>es</w:t>
            </w:r>
            <w:r w:rsidR="00DB3438" w:rsidRPr="000616DF">
              <w:rPr>
                <w:sz w:val="18"/>
                <w:lang w:val="fr-CH"/>
              </w:rPr>
              <w:t xml:space="preserve"> </w:t>
            </w:r>
            <w:r w:rsidR="003219BF" w:rsidRPr="000616DF">
              <w:rPr>
                <w:sz w:val="18"/>
                <w:lang w:val="fr-CH"/>
              </w:rPr>
              <w:t xml:space="preserve">et </w:t>
            </w:r>
            <w:r w:rsidR="000616DF" w:rsidRPr="000616DF">
              <w:rPr>
                <w:sz w:val="18"/>
                <w:lang w:val="fr-CH"/>
              </w:rPr>
              <w:t xml:space="preserve">le </w:t>
            </w:r>
            <w:r w:rsidRPr="000616DF">
              <w:rPr>
                <w:sz w:val="18"/>
                <w:lang w:val="fr-CH"/>
              </w:rPr>
              <w:t xml:space="preserve">niveau de service fourni. </w:t>
            </w:r>
            <w:r w:rsidR="000616DF">
              <w:rPr>
                <w:sz w:val="18"/>
                <w:lang w:val="fr-CH"/>
              </w:rPr>
              <w:t>Ramené aux bénéficiaires potentiels totaux (tous les habitants du village, soit 8'000 personnes), le coût par capita est de CHF 15.-. Ces inputs seront largement dépassés par les outputs (santé publique et éducation améliorées) quand le projet atteint l’ensemble de des résultats et effets attendus.</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633824">
            <w:pPr>
              <w:snapToGrid w:val="0"/>
              <w:spacing w:before="40" w:after="40"/>
              <w:rPr>
                <w:b/>
                <w:sz w:val="18"/>
                <w:lang w:val="fr-CH"/>
              </w:rPr>
            </w:pPr>
            <w:r w:rsidRPr="00A22EE2">
              <w:rPr>
                <w:b/>
                <w:sz w:val="18"/>
                <w:lang w:val="fr-CH"/>
              </w:rPr>
              <w:t xml:space="preserve">7. </w:t>
            </w:r>
            <w:r w:rsidR="00576201">
              <w:rPr>
                <w:b/>
                <w:sz w:val="18"/>
                <w:lang w:val="fr-CH"/>
              </w:rPr>
              <w:t>Remarques</w:t>
            </w:r>
          </w:p>
        </w:tc>
      </w:tr>
      <w:tr w:rsidR="002407C6" w:rsidRPr="002407C6">
        <w:trPr>
          <w:jc w:val="center"/>
        </w:trPr>
        <w:tc>
          <w:tcPr>
            <w:tcW w:w="9498" w:type="dxa"/>
            <w:tcBorders>
              <w:left w:val="single" w:sz="4" w:space="0" w:color="000000"/>
              <w:bottom w:val="single" w:sz="4" w:space="0" w:color="000000"/>
              <w:right w:val="single" w:sz="4" w:space="0" w:color="000000"/>
            </w:tcBorders>
          </w:tcPr>
          <w:p w:rsidR="00633824" w:rsidRPr="002407C6" w:rsidRDefault="002407C6" w:rsidP="006F1AAF">
            <w:pPr>
              <w:pStyle w:val="BodyText2"/>
              <w:spacing w:before="40" w:after="40"/>
              <w:rPr>
                <w:sz w:val="18"/>
                <w:lang w:val="fr-CH"/>
              </w:rPr>
            </w:pPr>
            <w:r w:rsidRPr="002407C6">
              <w:rPr>
                <w:sz w:val="18"/>
                <w:lang w:val="fr-CH"/>
              </w:rPr>
              <w:t>-</w:t>
            </w:r>
          </w:p>
        </w:tc>
      </w:tr>
      <w:tr w:rsidR="00633824" w:rsidRPr="00A22EE2">
        <w:trPr>
          <w:jc w:val="center"/>
        </w:trPr>
        <w:tc>
          <w:tcPr>
            <w:tcW w:w="9498" w:type="dxa"/>
            <w:tcBorders>
              <w:left w:val="single" w:sz="4" w:space="0" w:color="000000"/>
              <w:bottom w:val="single" w:sz="4" w:space="0" w:color="000000"/>
              <w:right w:val="single" w:sz="4" w:space="0" w:color="000000"/>
            </w:tcBorders>
            <w:shd w:val="clear" w:color="auto" w:fill="F3F3F3"/>
          </w:tcPr>
          <w:p w:rsidR="00633824" w:rsidRPr="00A22EE2" w:rsidRDefault="00576201">
            <w:pPr>
              <w:snapToGrid w:val="0"/>
              <w:spacing w:before="40" w:after="40"/>
              <w:rPr>
                <w:b/>
                <w:sz w:val="18"/>
                <w:lang w:val="fr-CH"/>
              </w:rPr>
            </w:pPr>
            <w:r>
              <w:rPr>
                <w:b/>
                <w:sz w:val="18"/>
                <w:lang w:val="fr-CH"/>
              </w:rPr>
              <w:t>Date et Auteur de la 2</w:t>
            </w:r>
            <w:r w:rsidRPr="00576201">
              <w:rPr>
                <w:b/>
                <w:sz w:val="18"/>
                <w:vertAlign w:val="superscript"/>
                <w:lang w:val="fr-CH"/>
              </w:rPr>
              <w:t>ème</w:t>
            </w:r>
            <w:r>
              <w:rPr>
                <w:b/>
                <w:sz w:val="18"/>
                <w:lang w:val="fr-CH"/>
              </w:rPr>
              <w:t xml:space="preserve"> opinion avec détails de contact</w:t>
            </w:r>
          </w:p>
        </w:tc>
      </w:tr>
      <w:tr w:rsidR="00633824" w:rsidRPr="00A22EE2">
        <w:trPr>
          <w:cantSplit/>
          <w:jc w:val="center"/>
        </w:trPr>
        <w:tc>
          <w:tcPr>
            <w:tcW w:w="9498" w:type="dxa"/>
            <w:tcBorders>
              <w:left w:val="single" w:sz="4" w:space="0" w:color="000000"/>
              <w:bottom w:val="single" w:sz="4" w:space="0" w:color="000000"/>
              <w:right w:val="single" w:sz="4" w:space="0" w:color="000000"/>
            </w:tcBorders>
          </w:tcPr>
          <w:p w:rsidR="00633824" w:rsidRPr="00A22EE2" w:rsidRDefault="002007C7">
            <w:pPr>
              <w:snapToGrid w:val="0"/>
              <w:spacing w:before="40" w:after="40"/>
              <w:rPr>
                <w:sz w:val="18"/>
                <w:lang w:val="fr-CH"/>
              </w:rPr>
            </w:pPr>
            <w:r>
              <w:rPr>
                <w:sz w:val="18"/>
                <w:lang w:val="fr-CH"/>
              </w:rPr>
              <w:t>26.02.16</w:t>
            </w:r>
            <w:r w:rsidR="001965DD">
              <w:rPr>
                <w:sz w:val="18"/>
                <w:lang w:val="fr-CH"/>
              </w:rPr>
              <w:t>, Roger Schmid, Skat Consulting, Vadianstrasse 42</w:t>
            </w:r>
            <w:r>
              <w:rPr>
                <w:sz w:val="18"/>
                <w:lang w:val="fr-CH"/>
              </w:rPr>
              <w:t>, 9000 St. Gallen, 071 228 54 38</w:t>
            </w:r>
            <w:r w:rsidR="001965DD">
              <w:rPr>
                <w:sz w:val="18"/>
                <w:lang w:val="fr-CH"/>
              </w:rPr>
              <w:t xml:space="preserve">, </w:t>
            </w:r>
            <w:hyperlink r:id="rId9" w:history="1">
              <w:r w:rsidR="001965DD" w:rsidRPr="00E15974">
                <w:rPr>
                  <w:rStyle w:val="Hyperlink"/>
                  <w:sz w:val="18"/>
                  <w:lang w:val="fr-CH"/>
                </w:rPr>
                <w:t>roger.schmid@skat.ch</w:t>
              </w:r>
            </w:hyperlink>
            <w:r w:rsidR="001965DD">
              <w:rPr>
                <w:sz w:val="18"/>
                <w:lang w:val="fr-CH"/>
              </w:rPr>
              <w:t xml:space="preserve"> </w:t>
            </w:r>
          </w:p>
        </w:tc>
      </w:tr>
    </w:tbl>
    <w:p w:rsidR="00633824" w:rsidRPr="00A22EE2" w:rsidRDefault="00633824">
      <w:pPr>
        <w:pStyle w:val="List"/>
        <w:spacing w:before="120" w:after="40"/>
        <w:jc w:val="right"/>
        <w:rPr>
          <w:sz w:val="2"/>
          <w:lang w:val="fr-CH"/>
        </w:rPr>
      </w:pPr>
    </w:p>
    <w:sectPr w:rsidR="00633824" w:rsidRPr="00A22EE2" w:rsidSect="006F1AAF">
      <w:headerReference w:type="default" r:id="rId10"/>
      <w:footerReference w:type="default" r:id="rId11"/>
      <w:footnotePr>
        <w:pos w:val="beneathText"/>
      </w:footnotePr>
      <w:pgSz w:w="11900" w:h="16837"/>
      <w:pgMar w:top="851" w:right="1134" w:bottom="851" w:left="1134" w:header="709"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F6" w:rsidRDefault="00394FF6">
      <w:r>
        <w:separator/>
      </w:r>
    </w:p>
  </w:endnote>
  <w:endnote w:type="continuationSeparator" w:id="0">
    <w:p w:rsidR="00394FF6" w:rsidRDefault="0039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BF" w:rsidRDefault="003219BF">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F6" w:rsidRDefault="00394FF6">
      <w:r>
        <w:separator/>
      </w:r>
    </w:p>
  </w:footnote>
  <w:footnote w:type="continuationSeparator" w:id="0">
    <w:p w:rsidR="00394FF6" w:rsidRDefault="0039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BF" w:rsidRDefault="003219BF">
    <w:pPr>
      <w:pStyle w:val="Header"/>
      <w:rPr>
        <w:szCs w:val="20"/>
      </w:rPr>
    </w:pPr>
    <w:r>
      <w:rPr>
        <w:noProof/>
        <w:lang w:eastAsia="de-CH"/>
      </w:rPr>
      <w:drawing>
        <wp:anchor distT="0" distB="0" distL="114935" distR="114935" simplePos="0" relativeHeight="251657728" behindDoc="1" locked="0" layoutInCell="1" allowOverlap="1" wp14:anchorId="470C1540" wp14:editId="359823EC">
          <wp:simplePos x="0" y="0"/>
          <wp:positionH relativeFrom="column">
            <wp:posOffset>4817745</wp:posOffset>
          </wp:positionH>
          <wp:positionV relativeFrom="paragraph">
            <wp:posOffset>-104775</wp:posOffset>
          </wp:positionV>
          <wp:extent cx="1713865" cy="2279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1689" b="49986"/>
                  <a:stretch>
                    <a:fillRect/>
                  </a:stretch>
                </pic:blipFill>
                <pic:spPr bwMode="auto">
                  <a:xfrm>
                    <a:off x="0" y="0"/>
                    <a:ext cx="171386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20"/>
        </w:tabs>
      </w:pPr>
      <w:rPr>
        <w:rFonts w:ascii="Arial" w:hAnsi="Arial"/>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29902820"/>
    <w:multiLevelType w:val="hybridMultilevel"/>
    <w:tmpl w:val="0BD8C4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FC"/>
    <w:rsid w:val="00035507"/>
    <w:rsid w:val="000616DF"/>
    <w:rsid w:val="00074999"/>
    <w:rsid w:val="000E4A98"/>
    <w:rsid w:val="0010436B"/>
    <w:rsid w:val="00173385"/>
    <w:rsid w:val="001965DD"/>
    <w:rsid w:val="001D4600"/>
    <w:rsid w:val="002007C7"/>
    <w:rsid w:val="0020575F"/>
    <w:rsid w:val="00222776"/>
    <w:rsid w:val="00233483"/>
    <w:rsid w:val="002407C6"/>
    <w:rsid w:val="00246DB3"/>
    <w:rsid w:val="002B0D40"/>
    <w:rsid w:val="002E7231"/>
    <w:rsid w:val="003219BF"/>
    <w:rsid w:val="00325D7F"/>
    <w:rsid w:val="00341EF5"/>
    <w:rsid w:val="003935A7"/>
    <w:rsid w:val="00394FF6"/>
    <w:rsid w:val="003B1E3A"/>
    <w:rsid w:val="003B5E59"/>
    <w:rsid w:val="004006DB"/>
    <w:rsid w:val="004112CA"/>
    <w:rsid w:val="00420B5B"/>
    <w:rsid w:val="00460B7E"/>
    <w:rsid w:val="00482487"/>
    <w:rsid w:val="004E20E5"/>
    <w:rsid w:val="00551454"/>
    <w:rsid w:val="0056620E"/>
    <w:rsid w:val="005701BD"/>
    <w:rsid w:val="005708AE"/>
    <w:rsid w:val="00576201"/>
    <w:rsid w:val="00584FFC"/>
    <w:rsid w:val="00592839"/>
    <w:rsid w:val="005A5715"/>
    <w:rsid w:val="005C5FBE"/>
    <w:rsid w:val="006244C8"/>
    <w:rsid w:val="00633824"/>
    <w:rsid w:val="00637270"/>
    <w:rsid w:val="006562A3"/>
    <w:rsid w:val="00680FBA"/>
    <w:rsid w:val="006F1AAF"/>
    <w:rsid w:val="0070272F"/>
    <w:rsid w:val="00723749"/>
    <w:rsid w:val="0075310F"/>
    <w:rsid w:val="007C4D0E"/>
    <w:rsid w:val="008264B6"/>
    <w:rsid w:val="00872DF5"/>
    <w:rsid w:val="008C6033"/>
    <w:rsid w:val="008E5208"/>
    <w:rsid w:val="00903ECB"/>
    <w:rsid w:val="00942967"/>
    <w:rsid w:val="0095018A"/>
    <w:rsid w:val="0098326D"/>
    <w:rsid w:val="0099288D"/>
    <w:rsid w:val="00A22EE2"/>
    <w:rsid w:val="00A371EE"/>
    <w:rsid w:val="00A70FAC"/>
    <w:rsid w:val="00AE78C2"/>
    <w:rsid w:val="00B270AE"/>
    <w:rsid w:val="00C349D2"/>
    <w:rsid w:val="00C525C5"/>
    <w:rsid w:val="00CB29B5"/>
    <w:rsid w:val="00CC339B"/>
    <w:rsid w:val="00D11DA0"/>
    <w:rsid w:val="00D31AA8"/>
    <w:rsid w:val="00D52C36"/>
    <w:rsid w:val="00D867F9"/>
    <w:rsid w:val="00DA7782"/>
    <w:rsid w:val="00DB1D28"/>
    <w:rsid w:val="00DB3438"/>
    <w:rsid w:val="00DF4712"/>
    <w:rsid w:val="00E23CE3"/>
    <w:rsid w:val="00EA0411"/>
    <w:rsid w:val="00EE7C9E"/>
    <w:rsid w:val="00F12940"/>
    <w:rsid w:val="00F369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70272F"/>
    <w:pPr>
      <w:spacing w:before="0"/>
    </w:pPr>
    <w:rPr>
      <w:rFonts w:ascii="Tahoma" w:hAnsi="Tahoma" w:cs="Tahoma"/>
      <w:sz w:val="16"/>
      <w:szCs w:val="16"/>
    </w:rPr>
  </w:style>
  <w:style w:type="character" w:customStyle="1" w:styleId="BalloonTextChar">
    <w:name w:val="Balloon Text Char"/>
    <w:basedOn w:val="DefaultParagraphFont"/>
    <w:link w:val="BalloonText"/>
    <w:rsid w:val="0070272F"/>
    <w:rPr>
      <w:rFonts w:ascii="Tahoma" w:hAnsi="Tahoma" w:cs="Tahoma"/>
      <w:sz w:val="16"/>
      <w:szCs w:val="16"/>
      <w:lang w:eastAsia="ar-SA"/>
    </w:rPr>
  </w:style>
  <w:style w:type="character" w:styleId="FollowedHyperlink">
    <w:name w:val="FollowedHyperlink"/>
    <w:basedOn w:val="DefaultParagraphFont"/>
    <w:rsid w:val="00F369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snapToGrid w:val="0"/>
      <w:spacing w:before="60" w:after="60"/>
    </w:pPr>
    <w:rPr>
      <w:sz w:val="20"/>
    </w:rPr>
  </w:style>
  <w:style w:type="paragraph" w:styleId="BalloonText">
    <w:name w:val="Balloon Text"/>
    <w:basedOn w:val="Normal"/>
    <w:link w:val="BalloonTextChar"/>
    <w:rsid w:val="0070272F"/>
    <w:pPr>
      <w:spacing w:before="0"/>
    </w:pPr>
    <w:rPr>
      <w:rFonts w:ascii="Tahoma" w:hAnsi="Tahoma" w:cs="Tahoma"/>
      <w:sz w:val="16"/>
      <w:szCs w:val="16"/>
    </w:rPr>
  </w:style>
  <w:style w:type="character" w:customStyle="1" w:styleId="BalloonTextChar">
    <w:name w:val="Balloon Text Char"/>
    <w:basedOn w:val="DefaultParagraphFont"/>
    <w:link w:val="BalloonText"/>
    <w:rsid w:val="0070272F"/>
    <w:rPr>
      <w:rFonts w:ascii="Tahoma" w:hAnsi="Tahoma" w:cs="Tahoma"/>
      <w:sz w:val="16"/>
      <w:szCs w:val="16"/>
      <w:lang w:eastAsia="ar-SA"/>
    </w:rPr>
  </w:style>
  <w:style w:type="character" w:styleId="FollowedHyperlink">
    <w:name w:val="FollowedHyperlink"/>
    <w:basedOn w:val="DefaultParagraphFont"/>
    <w:rsid w:val="00F36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ger.schmid@skat.ch"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0" ma:contentTypeDescription="Crée un document." ma:contentTypeScope="" ma:versionID="a8927a38f68f1d81110fe1d063bda312">
  <xsd:schema xmlns:xsd="http://www.w3.org/2001/XMLSchema" xmlns:xs="http://www.w3.org/2001/XMLSchema" xmlns:p="http://schemas.microsoft.com/office/2006/metadata/properties" xmlns:ns2="42a3bd66-1a5b-498d-a95c-db100f66fc54" targetNamespace="http://schemas.microsoft.com/office/2006/metadata/properties" ma:root="true" ma:fieldsID="d442ee634f0dc83c7d596915298fab5d" ns2:_="">
    <xsd:import namespace="42a3bd66-1a5b-498d-a95c-db100f66f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D22AD-7331-4A67-827A-910CF07C6603}">
  <ds:schemaRefs>
    <ds:schemaRef ds:uri="http://schemas.openxmlformats.org/officeDocument/2006/bibliography"/>
  </ds:schemaRefs>
</ds:datastoreItem>
</file>

<file path=customXml/itemProps2.xml><?xml version="1.0" encoding="utf-8"?>
<ds:datastoreItem xmlns:ds="http://schemas.openxmlformats.org/officeDocument/2006/customXml" ds:itemID="{CB983CFE-FCBA-4DBB-93A4-3585BC0C637B}"/>
</file>

<file path=customXml/itemProps3.xml><?xml version="1.0" encoding="utf-8"?>
<ds:datastoreItem xmlns:ds="http://schemas.openxmlformats.org/officeDocument/2006/customXml" ds:itemID="{C1DB9B24-80E5-4D24-868F-D244229CAD54}"/>
</file>

<file path=customXml/itemProps4.xml><?xml version="1.0" encoding="utf-8"?>
<ds:datastoreItem xmlns:ds="http://schemas.openxmlformats.org/officeDocument/2006/customXml" ds:itemID="{0F3904AD-F9E3-4945-9267-45B7AF438A96}"/>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Solidarit’Eau Suisse Aguasan 2nd opinion</vt:lpstr>
    </vt:vector>
  </TitlesOfParts>
  <Company>HP</Company>
  <LinksUpToDate>false</LinksUpToDate>
  <CharactersWithSpaces>7506</CharactersWithSpaces>
  <SharedDoc>false</SharedDoc>
  <HLinks>
    <vt:vector size="12" baseType="variant">
      <vt:variant>
        <vt:i4>4915256</vt:i4>
      </vt:variant>
      <vt:variant>
        <vt:i4>3</vt:i4>
      </vt:variant>
      <vt:variant>
        <vt:i4>0</vt:i4>
      </vt:variant>
      <vt:variant>
        <vt:i4>5</vt:i4>
      </vt:variant>
      <vt:variant>
        <vt:lpwstr>mailto:roger.schmid@skat.ch</vt:lpwstr>
      </vt:variant>
      <vt:variant>
        <vt:lpwstr/>
      </vt:variant>
      <vt:variant>
        <vt:i4>3473454</vt:i4>
      </vt:variant>
      <vt:variant>
        <vt:i4>0</vt:i4>
      </vt:variant>
      <vt:variant>
        <vt:i4>0</vt:i4>
      </vt:variant>
      <vt:variant>
        <vt:i4>5</vt:i4>
      </vt:variant>
      <vt:variant>
        <vt:lpwstr>http://www.singla-nepal.ch/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Solidarit’Eau Suisse Aguasan 2nd opinion</dc:title>
  <dc:creator>Roger Schmid</dc:creator>
  <cp:lastModifiedBy>Roger Schmid</cp:lastModifiedBy>
  <cp:revision>2</cp:revision>
  <cp:lastPrinted>2016-02-29T08:42:00Z</cp:lastPrinted>
  <dcterms:created xsi:type="dcterms:W3CDTF">2016-02-29T08:42:00Z</dcterms:created>
  <dcterms:modified xsi:type="dcterms:W3CDTF">2016-02-29T08:42:00Z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