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753" w:rsidRPr="006354D1" w:rsidRDefault="00B74DC2">
      <w:pPr>
        <w:rPr>
          <w:b/>
          <w:sz w:val="28"/>
        </w:rPr>
      </w:pPr>
      <w:r>
        <w:rPr>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117475</wp:posOffset>
                </wp:positionV>
                <wp:extent cx="5991225" cy="408305"/>
                <wp:effectExtent l="6985" t="5080" r="1206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08305"/>
                        </a:xfrm>
                        <a:prstGeom prst="rect">
                          <a:avLst/>
                        </a:prstGeom>
                        <a:solidFill>
                          <a:srgbClr val="FFFFFF"/>
                        </a:solidFill>
                        <a:ln w="9525">
                          <a:solidFill>
                            <a:srgbClr val="000000"/>
                          </a:solidFill>
                          <a:miter lim="800000"/>
                          <a:headEnd/>
                          <a:tailEnd/>
                        </a:ln>
                      </wps:spPr>
                      <wps:txbx>
                        <w:txbxContent>
                          <w:p w:rsidR="009B3753" w:rsidRDefault="00B74DC2">
                            <w:pPr>
                              <w:spacing w:before="0"/>
                              <w:jc w:val="center"/>
                              <w:rPr>
                                <w:b/>
                                <w:bCs/>
                              </w:rPr>
                            </w:pPr>
                            <w:r>
                              <w:rPr>
                                <w:b/>
                                <w:bCs/>
                              </w:rPr>
                              <w:t>Gemeinde und Infrawerke Münsingen</w:t>
                            </w:r>
                            <w:r w:rsidR="00A22EE2">
                              <w:rPr>
                                <w:b/>
                                <w:bCs/>
                              </w:rPr>
                              <w:t xml:space="preserve"> /</w:t>
                            </w:r>
                            <w:r w:rsidR="009B3753">
                              <w:rPr>
                                <w:b/>
                                <w:bCs/>
                              </w:rPr>
                              <w:t xml:space="preserve"> </w:t>
                            </w:r>
                            <w:r>
                              <w:rPr>
                                <w:b/>
                                <w:bCs/>
                              </w:rPr>
                              <w:t>Trinkwasserversorgung und Siedlungshygiene Masindray, Madagaskar, Phase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pt;margin-top:9.25pt;width:471.75pt;height: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kRIgIAAEcEAAAOAAAAZHJzL2Uyb0RvYy54bWysU9uO0zAQfUfiHyy/01xooY2arlZdipAW&#10;WLHwAY7jJBaObcZuk+Xrd+xkS7mIB4QfLI9nfHzmzMz2auwVOQlw0uiSZouUEqG5qaVuS/rl8+HF&#10;mhLnma6ZMlqU9EE4erV7/mw72ELkpjOqFkAQRLtisCXtvLdFkjjeiZ65hbFCo7Mx0DOPJrRJDWxA&#10;9F4leZq+SgYDtQXDhXN4ezM56S7iN43g/mPTOOGJKily83GHuFdhT3ZbVrTAbCf5TIP9A4ueSY2f&#10;nqFumGfkCPI3qF5yMM40fsFNn5imkVzEHDCbLP0lm/uOWRFzQXGcPcvk/h8s/3C6AyLrkuaUaNZj&#10;iT6haEy3SpA8yDNYV2DUvb2DkKCzt4Z/dUSbfYdR4hrADJ1gNZLKQnzy04NgOHxKquG9qRGdHb2J&#10;So0N9AEQNSBjLMjDuSBi9ITj5WqzyfJ8RQlH3zJdv0xX8QtWPL224PxbYXoSDiUF5B7R2enW+cCG&#10;FU8hkb1Rsj5IpaIBbbVXQE4Mm+MQ14zuLsOUJkNJNyvk8XeINK4/QfTSY5cr2Zd0fQ5iRZDtja5j&#10;D3om1XRGykrPOgbpphL4sRrnalSmfkBFwUzdjNOHh87Ad0oG7OSSum9HBoIS9U5jVTbZchlaPxrL&#10;1escDbj0VJcepjlCldRTMh33fhqXowXZdvhTFmXQ5hor2cgocqjyxGrmjd0atZ8nK4zDpR2jfsz/&#10;7hEAAP//AwBQSwMEFAAGAAgAAAAhAOJwoVXbAAAABwEAAA8AAABkcnMvZG93bnJldi54bWxMjk9P&#10;g0AQxe8mfofNmHizi6gVkKUxmpp4bOnF2wAjoOwsYZcW/fSOJz2+P3nvl28WO6gjTb53bOB6FYEi&#10;rl3Tc2vgUG6vElA+IDc4OCYDX+RhU5yf5Zg17sQ7Ou5Dq2SEfYYGuhDGTGtfd2TRr9xILNm7mywG&#10;kVOrmwlPMm4HHUfRWlvsWR46HOmpo/pzP1sDVR8f8HtXvkQ23d6E16X8mN+ejbm8WB4fQAVawl8Z&#10;fvEFHQphqtzMjVeDgXUsRbGTO1ASp7fpPajKQBInoItc/+cvfgAAAP//AwBQSwECLQAUAAYACAAA&#10;ACEAtoM4kv4AAADhAQAAEwAAAAAAAAAAAAAAAAAAAAAAW0NvbnRlbnRfVHlwZXNdLnhtbFBLAQIt&#10;ABQABgAIAAAAIQA4/SH/1gAAAJQBAAALAAAAAAAAAAAAAAAAAC8BAABfcmVscy8ucmVsc1BLAQIt&#10;ABQABgAIAAAAIQBch6kRIgIAAEcEAAAOAAAAAAAAAAAAAAAAAC4CAABkcnMvZTJvRG9jLnhtbFBL&#10;AQItABQABgAIAAAAIQDicKFV2wAAAAcBAAAPAAAAAAAAAAAAAAAAAHwEAABkcnMvZG93bnJldi54&#10;bWxQSwUGAAAAAAQABADzAAAAhAUAAAAA&#10;">
                <v:textbox>
                  <w:txbxContent>
                    <w:p w:rsidR="009B3753" w:rsidRDefault="00B74DC2">
                      <w:pPr>
                        <w:spacing w:before="0"/>
                        <w:jc w:val="center"/>
                        <w:rPr>
                          <w:b/>
                          <w:bCs/>
                        </w:rPr>
                      </w:pPr>
                      <w:r>
                        <w:rPr>
                          <w:b/>
                          <w:bCs/>
                        </w:rPr>
                        <w:t>Gemeinde und Infrawerke Münsingen</w:t>
                      </w:r>
                      <w:r w:rsidR="00A22EE2">
                        <w:rPr>
                          <w:b/>
                          <w:bCs/>
                        </w:rPr>
                        <w:t xml:space="preserve"> /</w:t>
                      </w:r>
                      <w:r w:rsidR="009B3753">
                        <w:rPr>
                          <w:b/>
                          <w:bCs/>
                        </w:rPr>
                        <w:t xml:space="preserve"> </w:t>
                      </w:r>
                      <w:r>
                        <w:rPr>
                          <w:b/>
                          <w:bCs/>
                        </w:rPr>
                        <w:t>Trinkwasserversorgung und Siedlungshygiene Masindray, Madagaskar, Phase 2</w:t>
                      </w:r>
                    </w:p>
                  </w:txbxContent>
                </v:textbox>
              </v:rect>
            </w:pict>
          </mc:Fallback>
        </mc:AlternateContent>
      </w:r>
    </w:p>
    <w:p w:rsidR="009B3753" w:rsidRPr="006354D1" w:rsidRDefault="009B3753">
      <w:pPr>
        <w:rPr>
          <w:b/>
          <w:sz w:val="16"/>
        </w:rPr>
      </w:pPr>
    </w:p>
    <w:p w:rsidR="00B74DC2" w:rsidRDefault="00B74DC2" w:rsidP="00B74DC2">
      <w:pPr>
        <w:spacing w:before="0"/>
        <w:rPr>
          <w:b/>
          <w:sz w:val="24"/>
        </w:rPr>
      </w:pPr>
    </w:p>
    <w:p w:rsidR="009B3753" w:rsidRPr="006354D1" w:rsidRDefault="006354D1">
      <w:pPr>
        <w:spacing w:before="0" w:after="120"/>
        <w:rPr>
          <w:b/>
          <w:sz w:val="24"/>
        </w:rPr>
      </w:pPr>
      <w:r w:rsidRPr="006354D1">
        <w:rPr>
          <w:b/>
          <w:sz w:val="24"/>
        </w:rPr>
        <w:t>Zweitmeinung</w:t>
      </w:r>
      <w:r w:rsidR="009B3753" w:rsidRPr="006354D1">
        <w:rPr>
          <w:b/>
          <w:sz w:val="24"/>
        </w:rPr>
        <w:t xml:space="preserve"> </w:t>
      </w:r>
      <w:r w:rsidR="005A6B03">
        <w:rPr>
          <w:b/>
          <w:sz w:val="24"/>
        </w:rPr>
        <w:t>AGUASAN</w:t>
      </w:r>
      <w:r w:rsidR="009B3753" w:rsidRPr="006354D1">
        <w:rPr>
          <w:bCs/>
          <w:sz w:val="24"/>
        </w:rPr>
        <w:t>:</w:t>
      </w:r>
    </w:p>
    <w:tbl>
      <w:tblPr>
        <w:tblW w:w="0" w:type="auto"/>
        <w:jc w:val="center"/>
        <w:tblInd w:w="-5" w:type="dxa"/>
        <w:tblLayout w:type="fixed"/>
        <w:tblLook w:val="0000" w:firstRow="0" w:lastRow="0" w:firstColumn="0" w:lastColumn="0" w:noHBand="0" w:noVBand="0"/>
      </w:tblPr>
      <w:tblGrid>
        <w:gridCol w:w="9498"/>
      </w:tblGrid>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6354D1">
            <w:pPr>
              <w:snapToGrid w:val="0"/>
              <w:spacing w:before="40" w:after="40"/>
              <w:rPr>
                <w:b/>
                <w:sz w:val="18"/>
              </w:rPr>
            </w:pPr>
            <w:r w:rsidRPr="006354D1">
              <w:rPr>
                <w:b/>
                <w:sz w:val="18"/>
              </w:rPr>
              <w:t>Empfehlung</w:t>
            </w:r>
            <w:r w:rsidR="009B3753" w:rsidRPr="006354D1">
              <w:rPr>
                <w:b/>
                <w:sz w:val="18"/>
              </w:rPr>
              <w:t xml:space="preserve"> (</w:t>
            </w:r>
            <w:r w:rsidRPr="006354D1">
              <w:rPr>
                <w:b/>
                <w:sz w:val="18"/>
              </w:rPr>
              <w:t>Schlußfolgerung der Beurteilung</w:t>
            </w:r>
            <w:r w:rsidR="009B3753" w:rsidRPr="006354D1">
              <w:rPr>
                <w:b/>
                <w:sz w:val="18"/>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15626B">
            <w:pPr>
              <w:snapToGrid w:val="0"/>
              <w:spacing w:before="40" w:after="40"/>
              <w:rPr>
                <w:sz w:val="18"/>
              </w:rPr>
            </w:pPr>
            <w:r>
              <w:rPr>
                <w:sz w:val="18"/>
              </w:rPr>
              <w:t xml:space="preserve">Relevantes Projekt (im Rahmen eines mittelfristigen Gesamtunterfangens), mit angemessener Zielformulierung, ganzheitlichem und dem Kontext angepasstem Ansatz, effizienten pro Kopf Kosten und grossen Chancen auf </w:t>
            </w:r>
            <w:r w:rsidR="0083588E">
              <w:rPr>
                <w:sz w:val="18"/>
              </w:rPr>
              <w:t xml:space="preserve">langfristige </w:t>
            </w:r>
            <w:r>
              <w:rPr>
                <w:sz w:val="18"/>
              </w:rPr>
              <w:t xml:space="preserve">Nachhaltigkeit </w:t>
            </w:r>
            <w:r>
              <w:rPr>
                <w:rFonts w:ascii="Calibri" w:hAnsi="Calibri"/>
                <w:sz w:val="18"/>
              </w:rPr>
              <w:t>→</w:t>
            </w:r>
            <w:r>
              <w:rPr>
                <w:sz w:val="18"/>
              </w:rPr>
              <w:t xml:space="preserve"> zur Finanzierung und Durchführung empfohlen.</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A22EE2">
            <w:pPr>
              <w:snapToGrid w:val="0"/>
              <w:spacing w:before="40" w:after="40"/>
              <w:rPr>
                <w:b/>
                <w:sz w:val="18"/>
              </w:rPr>
            </w:pPr>
            <w:r w:rsidRPr="006354D1">
              <w:rPr>
                <w:b/>
                <w:sz w:val="18"/>
              </w:rPr>
              <w:t xml:space="preserve">1. </w:t>
            </w:r>
            <w:r w:rsidR="006354D1">
              <w:rPr>
                <w:b/>
                <w:sz w:val="18"/>
              </w:rPr>
              <w:t>Relevanz</w:t>
            </w:r>
            <w:r w:rsidRPr="006354D1">
              <w:rPr>
                <w:b/>
                <w:sz w:val="18"/>
              </w:rPr>
              <w:t xml:space="preserve"> (</w:t>
            </w:r>
            <w:r w:rsidR="007E19FC">
              <w:rPr>
                <w:b/>
                <w:sz w:val="18"/>
              </w:rPr>
              <w:t>Zweckmäßigkeit</w:t>
            </w:r>
            <w:r w:rsidRPr="006354D1">
              <w:rPr>
                <w:b/>
                <w:sz w:val="18"/>
              </w:rPr>
              <w:t>)</w:t>
            </w:r>
            <w:r w:rsidR="009B3753" w:rsidRPr="006354D1">
              <w:rPr>
                <w:b/>
                <w:sz w:val="18"/>
              </w:rPr>
              <w:t xml:space="preserve"> </w:t>
            </w:r>
            <w:r w:rsidR="006354D1">
              <w:rPr>
                <w:b/>
                <w:sz w:val="18"/>
              </w:rPr>
              <w:t>des Projekts</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197F33" w:rsidRDefault="00197F33" w:rsidP="00197F33">
            <w:pPr>
              <w:snapToGrid w:val="0"/>
              <w:spacing w:before="40" w:after="40"/>
              <w:rPr>
                <w:sz w:val="18"/>
              </w:rPr>
            </w:pPr>
            <w:r w:rsidRPr="00197F33">
              <w:rPr>
                <w:sz w:val="18"/>
              </w:rPr>
              <w:t xml:space="preserve">Madagaskar gehört </w:t>
            </w:r>
            <w:r>
              <w:rPr>
                <w:sz w:val="18"/>
              </w:rPr>
              <w:t xml:space="preserve">zu den ärmsten Ländern (aktuell Platz 155 </w:t>
            </w:r>
            <w:r w:rsidRPr="00197F33">
              <w:rPr>
                <w:sz w:val="18"/>
              </w:rPr>
              <w:t>von 187</w:t>
            </w:r>
            <w:r w:rsidR="00DB5BD5">
              <w:rPr>
                <w:sz w:val="18"/>
              </w:rPr>
              <w:t xml:space="preserve"> a</w:t>
            </w:r>
            <w:r w:rsidR="00DB5BD5" w:rsidRPr="00197F33">
              <w:rPr>
                <w:sz w:val="18"/>
              </w:rPr>
              <w:t>uf dem Index für menschliche Entwicklun</w:t>
            </w:r>
            <w:r w:rsidR="00DB5BD5">
              <w:rPr>
                <w:sz w:val="18"/>
              </w:rPr>
              <w:t>g</w:t>
            </w:r>
            <w:r>
              <w:rPr>
                <w:sz w:val="18"/>
              </w:rPr>
              <w:t>) und</w:t>
            </w:r>
            <w:r w:rsidRPr="00197F33">
              <w:rPr>
                <w:sz w:val="18"/>
              </w:rPr>
              <w:t xml:space="preserve"> zu den Staaten mit der schlechtesten Trinkwasserversorgung </w:t>
            </w:r>
            <w:r>
              <w:rPr>
                <w:sz w:val="18"/>
              </w:rPr>
              <w:t xml:space="preserve">und Siedlungshygiene </w:t>
            </w:r>
            <w:r w:rsidRPr="00197F33">
              <w:rPr>
                <w:sz w:val="18"/>
              </w:rPr>
              <w:t>südlich der Sahara</w:t>
            </w:r>
            <w:r>
              <w:rPr>
                <w:sz w:val="18"/>
              </w:rPr>
              <w:t>.</w:t>
            </w:r>
            <w:r w:rsidR="00DB5BD5">
              <w:rPr>
                <w:sz w:val="18"/>
              </w:rPr>
              <w:t xml:space="preserve"> </w:t>
            </w:r>
            <w:r w:rsidR="007B5B78">
              <w:rPr>
                <w:sz w:val="18"/>
              </w:rPr>
              <w:t>2012 hatte nur die Hälfte der Bevölkerung Zugang zu sicherem Trinkwasser (in ländlichen Gebieten gar nur 35%)</w:t>
            </w:r>
            <w:r w:rsidR="00DB5BD5">
              <w:rPr>
                <w:sz w:val="18"/>
              </w:rPr>
              <w:t xml:space="preserve">, und 14% der Bevölkerung (11% auf dem Land) verfügte über angemessene sanitäre Einrichtungen. Madagaskar wird somit die </w:t>
            </w:r>
            <w:r w:rsidRPr="00197F33">
              <w:rPr>
                <w:sz w:val="18"/>
              </w:rPr>
              <w:t>Millenniums-Entwicklungsziele</w:t>
            </w:r>
            <w:r>
              <w:rPr>
                <w:sz w:val="18"/>
              </w:rPr>
              <w:t xml:space="preserve"> per 2015 in diesen Bereichen nicht</w:t>
            </w:r>
            <w:r w:rsidR="00DB5BD5">
              <w:rPr>
                <w:sz w:val="18"/>
              </w:rPr>
              <w:t xml:space="preserve"> erreichen können.</w:t>
            </w:r>
          </w:p>
          <w:p w:rsidR="009B3753" w:rsidRPr="006354D1" w:rsidRDefault="00FA6A52" w:rsidP="00DB5BD5">
            <w:pPr>
              <w:snapToGrid w:val="0"/>
              <w:spacing w:before="40" w:after="40"/>
              <w:rPr>
                <w:sz w:val="18"/>
              </w:rPr>
            </w:pPr>
            <w:r>
              <w:rPr>
                <w:sz w:val="18"/>
              </w:rPr>
              <w:t>Das Projekt ist Teil eines mittelfristigen Gesamtunterfangens in der Gemeinde Masindray (20 km südöstlich der Hauptstadt Antananarivo gelegen) mit dem Ziel die Trinkwasserversorgung in allen 50 Weilern der 10 Dörfer der Gemeinde (</w:t>
            </w:r>
            <w:r w:rsidR="001E466E">
              <w:rPr>
                <w:sz w:val="18"/>
              </w:rPr>
              <w:t>ca. 6‘000 Einwohner)</w:t>
            </w:r>
            <w:r>
              <w:rPr>
                <w:sz w:val="18"/>
              </w:rPr>
              <w:t xml:space="preserve"> </w:t>
            </w:r>
            <w:r w:rsidR="001E466E">
              <w:rPr>
                <w:sz w:val="18"/>
              </w:rPr>
              <w:t xml:space="preserve">sicherzustellen. In 6 Dörfern wurden um die Jahrtausendwende Wasserversorgun-gen gebaut aber funktionieren jedoch nur noch zu einem kleinen Teil. Zwei dieser Wasserversorgungen werden mit dem vorliegenden Projekt nachhaltig rehabilitiert. </w:t>
            </w:r>
            <w:r>
              <w:rPr>
                <w:sz w:val="18"/>
              </w:rPr>
              <w:t xml:space="preserve">80% der Begünstigten des Projekts leben unter der Armutsgrenze. </w:t>
            </w:r>
            <w:r w:rsidR="001E466E">
              <w:rPr>
                <w:sz w:val="18"/>
              </w:rPr>
              <w:t>Das Projekt ist eine klar ausgewiesene Entwicklungspriorität der lokalen Behörden und Bevölkerung.</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rsidP="00A22EE2">
            <w:pPr>
              <w:tabs>
                <w:tab w:val="left" w:pos="2393"/>
              </w:tabs>
              <w:snapToGrid w:val="0"/>
              <w:spacing w:before="40" w:after="40"/>
              <w:rPr>
                <w:b/>
                <w:sz w:val="18"/>
              </w:rPr>
            </w:pPr>
            <w:r w:rsidRPr="006354D1">
              <w:rPr>
                <w:b/>
                <w:sz w:val="18"/>
              </w:rPr>
              <w:t xml:space="preserve">2. </w:t>
            </w:r>
            <w:r w:rsidR="006354D1">
              <w:rPr>
                <w:b/>
                <w:sz w:val="18"/>
              </w:rPr>
              <w:t>Sind die Ziele</w:t>
            </w:r>
            <w:r w:rsidR="00A22EE2" w:rsidRPr="006354D1">
              <w:rPr>
                <w:b/>
                <w:sz w:val="18"/>
              </w:rPr>
              <w:t xml:space="preserve"> (</w:t>
            </w:r>
            <w:r w:rsidR="006354D1">
              <w:rPr>
                <w:b/>
                <w:sz w:val="18"/>
              </w:rPr>
              <w:t>und Indikatoren)</w:t>
            </w:r>
            <w:r w:rsidR="00A22EE2" w:rsidRPr="006354D1">
              <w:rPr>
                <w:b/>
                <w:sz w:val="18"/>
              </w:rPr>
              <w:t xml:space="preserve"> SMART? </w:t>
            </w:r>
            <w:r w:rsidR="00A22EE2" w:rsidRPr="006354D1">
              <w:rPr>
                <w:sz w:val="16"/>
                <w:szCs w:val="16"/>
              </w:rPr>
              <w:t>(</w:t>
            </w:r>
            <w:r w:rsidR="00A22EE2" w:rsidRPr="006354D1">
              <w:rPr>
                <w:sz w:val="16"/>
                <w:szCs w:val="16"/>
                <w:u w:val="single"/>
              </w:rPr>
              <w:t>S</w:t>
            </w:r>
            <w:r w:rsidR="006354D1">
              <w:rPr>
                <w:sz w:val="16"/>
                <w:szCs w:val="16"/>
              </w:rPr>
              <w:t>pezifisch</w:t>
            </w:r>
            <w:r w:rsidR="00A22EE2" w:rsidRPr="006354D1">
              <w:rPr>
                <w:sz w:val="16"/>
                <w:szCs w:val="16"/>
              </w:rPr>
              <w:t xml:space="preserve">, </w:t>
            </w:r>
            <w:r w:rsidR="006354D1" w:rsidRPr="006354D1">
              <w:rPr>
                <w:sz w:val="16"/>
                <w:szCs w:val="16"/>
                <w:u w:val="single"/>
              </w:rPr>
              <w:t>M</w:t>
            </w:r>
            <w:r w:rsidR="006354D1">
              <w:rPr>
                <w:sz w:val="16"/>
                <w:szCs w:val="16"/>
              </w:rPr>
              <w:t>eßbar</w:t>
            </w:r>
            <w:r w:rsidR="00A22EE2" w:rsidRPr="006354D1">
              <w:rPr>
                <w:sz w:val="16"/>
                <w:szCs w:val="16"/>
              </w:rPr>
              <w:t xml:space="preserve">, </w:t>
            </w:r>
            <w:r w:rsidR="00A22EE2" w:rsidRPr="006354D1">
              <w:rPr>
                <w:sz w:val="16"/>
                <w:szCs w:val="16"/>
                <w:u w:val="single"/>
              </w:rPr>
              <w:t>A</w:t>
            </w:r>
            <w:r w:rsidR="006354D1">
              <w:rPr>
                <w:sz w:val="16"/>
                <w:szCs w:val="16"/>
              </w:rPr>
              <w:t>ngemessen</w:t>
            </w:r>
            <w:r w:rsidR="00A22EE2" w:rsidRPr="006354D1">
              <w:rPr>
                <w:sz w:val="16"/>
                <w:szCs w:val="16"/>
              </w:rPr>
              <w:t xml:space="preserve">, </w:t>
            </w:r>
            <w:r w:rsidR="00A22EE2" w:rsidRPr="006354D1">
              <w:rPr>
                <w:sz w:val="16"/>
                <w:szCs w:val="16"/>
                <w:u w:val="single"/>
              </w:rPr>
              <w:t>R</w:t>
            </w:r>
            <w:r w:rsidR="006354D1">
              <w:rPr>
                <w:sz w:val="16"/>
                <w:szCs w:val="16"/>
              </w:rPr>
              <w:t>elevant</w:t>
            </w:r>
            <w:r w:rsidR="00A22EE2" w:rsidRPr="006354D1">
              <w:rPr>
                <w:sz w:val="16"/>
                <w:szCs w:val="16"/>
              </w:rPr>
              <w:t xml:space="preserve">, </w:t>
            </w:r>
            <w:r w:rsidR="00A22EE2" w:rsidRPr="006354D1">
              <w:rPr>
                <w:sz w:val="16"/>
                <w:szCs w:val="16"/>
                <w:u w:val="single"/>
              </w:rPr>
              <w:t>T</w:t>
            </w:r>
            <w:r w:rsidR="006354D1">
              <w:rPr>
                <w:sz w:val="16"/>
                <w:szCs w:val="16"/>
              </w:rPr>
              <w:t>erminiert</w:t>
            </w:r>
            <w:r w:rsidR="00A22EE2" w:rsidRPr="006354D1">
              <w:rPr>
                <w:sz w:val="16"/>
                <w:szCs w:val="16"/>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1E466E" w:rsidP="000A33E0">
            <w:pPr>
              <w:spacing w:before="40" w:after="40"/>
              <w:rPr>
                <w:sz w:val="18"/>
              </w:rPr>
            </w:pPr>
            <w:r>
              <w:rPr>
                <w:sz w:val="18"/>
              </w:rPr>
              <w:t xml:space="preserve">Die Zielformulierung </w:t>
            </w:r>
            <w:r w:rsidR="00D819DA">
              <w:rPr>
                <w:sz w:val="18"/>
              </w:rPr>
              <w:t>ist spezifisch und</w:t>
            </w:r>
            <w:r>
              <w:rPr>
                <w:sz w:val="18"/>
              </w:rPr>
              <w:t xml:space="preserve"> messbar</w:t>
            </w:r>
            <w:r w:rsidR="000A33E0">
              <w:rPr>
                <w:sz w:val="18"/>
              </w:rPr>
              <w:t xml:space="preserve"> (verbesserter Zugang zu Trinkwasser und sanitären Einrichtungen, Funktionalität der rehabilitierten Infrastruktur, Beteiligung der Nutzniesser, nachhaltige Finanzierung von </w:t>
            </w:r>
            <w:r w:rsidR="0015626B">
              <w:rPr>
                <w:sz w:val="18"/>
              </w:rPr>
              <w:t>Betrieb</w:t>
            </w:r>
            <w:r w:rsidR="000A33E0">
              <w:rPr>
                <w:sz w:val="18"/>
              </w:rPr>
              <w:t xml:space="preserve"> und Unterhalt).</w:t>
            </w:r>
            <w:r w:rsidR="00D819DA">
              <w:rPr>
                <w:sz w:val="18"/>
              </w:rPr>
              <w:t xml:space="preserve"> Aufgrund der Erfahrungen der Projektphase 1, kann die Zielsetzung </w:t>
            </w:r>
            <w:r w:rsidR="0015626B">
              <w:rPr>
                <w:sz w:val="18"/>
              </w:rPr>
              <w:t xml:space="preserve">bis Ende 2015 </w:t>
            </w:r>
            <w:r w:rsidR="00D819DA">
              <w:rPr>
                <w:sz w:val="18"/>
              </w:rPr>
              <w:t xml:space="preserve">als </w:t>
            </w:r>
            <w:r w:rsidR="0015626B">
              <w:rPr>
                <w:sz w:val="18"/>
              </w:rPr>
              <w:t xml:space="preserve">relevant und </w:t>
            </w:r>
            <w:r w:rsidR="00D819DA">
              <w:rPr>
                <w:sz w:val="18"/>
              </w:rPr>
              <w:t>angemessen betrachtet werden.</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9B3753">
            <w:pPr>
              <w:tabs>
                <w:tab w:val="left" w:pos="2592"/>
              </w:tabs>
              <w:snapToGrid w:val="0"/>
              <w:spacing w:before="40" w:after="40"/>
              <w:rPr>
                <w:b/>
                <w:sz w:val="18"/>
              </w:rPr>
            </w:pPr>
            <w:r w:rsidRPr="006354D1">
              <w:rPr>
                <w:b/>
                <w:sz w:val="18"/>
              </w:rPr>
              <w:t xml:space="preserve">3. </w:t>
            </w:r>
            <w:r w:rsidR="006354D1">
              <w:rPr>
                <w:b/>
                <w:sz w:val="18"/>
              </w:rPr>
              <w:t>Vorgeschlagene Ansätze</w:t>
            </w:r>
            <w:r w:rsidR="007E19FC">
              <w:rPr>
                <w:b/>
                <w:sz w:val="18"/>
              </w:rPr>
              <w:t xml:space="preserve"> (Umsetzung)</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D819DA" w:rsidP="00F40DDC">
            <w:pPr>
              <w:snapToGrid w:val="0"/>
              <w:spacing w:before="40" w:after="40"/>
              <w:rPr>
                <w:sz w:val="18"/>
              </w:rPr>
            </w:pPr>
            <w:r>
              <w:rPr>
                <w:sz w:val="18"/>
              </w:rPr>
              <w:t>Aufgaben und Verantwortungen der verschiedenen Stakeholder sind klar</w:t>
            </w:r>
            <w:r w:rsidR="00F369B1">
              <w:rPr>
                <w:sz w:val="18"/>
              </w:rPr>
              <w:t xml:space="preserve"> definiert</w:t>
            </w:r>
            <w:r w:rsidR="00F40DDC">
              <w:rPr>
                <w:sz w:val="18"/>
              </w:rPr>
              <w:t xml:space="preserve"> und angepasst</w:t>
            </w:r>
            <w:r w:rsidR="00F369B1">
              <w:rPr>
                <w:sz w:val="18"/>
              </w:rPr>
              <w:t>: d</w:t>
            </w:r>
            <w:r>
              <w:rPr>
                <w:sz w:val="18"/>
              </w:rPr>
              <w:t>ie Gemeinde</w:t>
            </w:r>
            <w:r w:rsidR="00F40DDC">
              <w:rPr>
                <w:sz w:val="18"/>
              </w:rPr>
              <w:t>-</w:t>
            </w:r>
            <w:r>
              <w:rPr>
                <w:sz w:val="18"/>
              </w:rPr>
              <w:t>behörden haben die Oberaufsicht</w:t>
            </w:r>
            <w:r w:rsidR="00F369B1">
              <w:rPr>
                <w:sz w:val="18"/>
              </w:rPr>
              <w:t>. Eine lokale Privatfirma wird beauftragt, die Arbeiten (</w:t>
            </w:r>
            <w:r w:rsidR="00F40DDC">
              <w:rPr>
                <w:sz w:val="18"/>
              </w:rPr>
              <w:t>zwei</w:t>
            </w:r>
            <w:r w:rsidR="00F369B1">
              <w:rPr>
                <w:sz w:val="18"/>
              </w:rPr>
              <w:t xml:space="preserve"> Gravitationswasser</w:t>
            </w:r>
            <w:r w:rsidR="00F40DDC">
              <w:rPr>
                <w:sz w:val="18"/>
              </w:rPr>
              <w:t>-</w:t>
            </w:r>
            <w:r w:rsidR="00F369B1">
              <w:rPr>
                <w:sz w:val="18"/>
              </w:rPr>
              <w:t xml:space="preserve">versorgungen mit drei Quellfassungen, Dorftanks, Verteilsysteme und 20 </w:t>
            </w:r>
            <w:r w:rsidR="0015626B">
              <w:rPr>
                <w:sz w:val="18"/>
              </w:rPr>
              <w:t xml:space="preserve">soziale </w:t>
            </w:r>
            <w:r w:rsidR="00F369B1">
              <w:rPr>
                <w:sz w:val="18"/>
              </w:rPr>
              <w:t xml:space="preserve">Zapfstellen) durchzuführen. Die Nutzniesser </w:t>
            </w:r>
            <w:r w:rsidR="005022CB">
              <w:rPr>
                <w:sz w:val="18"/>
              </w:rPr>
              <w:t xml:space="preserve">werden sensibilisiert, beteiligen sich an Grabarbeiten, </w:t>
            </w:r>
            <w:r w:rsidR="00F369B1">
              <w:rPr>
                <w:sz w:val="18"/>
              </w:rPr>
              <w:t>schliessen sich zu Zapfstellgemeinschaften zusammen und bezahlen das bezogene Wasser</w:t>
            </w:r>
            <w:r w:rsidR="00F40DDC">
              <w:rPr>
                <w:sz w:val="18"/>
              </w:rPr>
              <w:t xml:space="preserve"> an den Betreiber</w:t>
            </w:r>
            <w:r w:rsidR="00F369B1">
              <w:rPr>
                <w:sz w:val="18"/>
              </w:rPr>
              <w:t xml:space="preserve">. Betrieb </w:t>
            </w:r>
            <w:r w:rsidR="00F40DDC">
              <w:rPr>
                <w:sz w:val="18"/>
              </w:rPr>
              <w:t>&amp;</w:t>
            </w:r>
            <w:r w:rsidR="00F369B1">
              <w:rPr>
                <w:sz w:val="18"/>
              </w:rPr>
              <w:t xml:space="preserve"> Unterhalt </w:t>
            </w:r>
            <w:r w:rsidR="00F40DDC">
              <w:rPr>
                <w:sz w:val="18"/>
              </w:rPr>
              <w:t>wird</w:t>
            </w:r>
            <w:r w:rsidR="00F369B1">
              <w:rPr>
                <w:sz w:val="18"/>
              </w:rPr>
              <w:t xml:space="preserve"> an eine spezialisierte öffentliche nationale Institution (CNEAGR) delegiert, welche allfällige Reparaturarbeiten </w:t>
            </w:r>
            <w:r w:rsidR="00F40DDC">
              <w:rPr>
                <w:sz w:val="18"/>
              </w:rPr>
              <w:t>an lokale private Unter</w:t>
            </w:r>
            <w:r w:rsidR="0015626B">
              <w:rPr>
                <w:sz w:val="18"/>
              </w:rPr>
              <w:t>-</w:t>
            </w:r>
            <w:r w:rsidR="00F40DDC">
              <w:rPr>
                <w:sz w:val="18"/>
              </w:rPr>
              <w:t>nehmer vergibt.</w:t>
            </w:r>
            <w:r w:rsidR="0084708D">
              <w:rPr>
                <w:sz w:val="18"/>
              </w:rPr>
              <w:t xml:space="preserve"> Der Unterstützungsfonds (Fond d’Appui Assainissement) des WSSCC subventioniert die Latrinen</w:t>
            </w:r>
            <w:r w:rsidR="0015626B">
              <w:rPr>
                <w:sz w:val="18"/>
              </w:rPr>
              <w:t>-</w:t>
            </w:r>
            <w:r w:rsidR="0084708D">
              <w:rPr>
                <w:sz w:val="18"/>
              </w:rPr>
              <w:t>verbesserungen.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4. </w:t>
            </w:r>
            <w:r w:rsidR="006354D1">
              <w:rPr>
                <w:b/>
                <w:sz w:val="18"/>
              </w:rPr>
              <w:t xml:space="preserve">Erwartete </w:t>
            </w:r>
            <w:r w:rsidR="007E19FC">
              <w:rPr>
                <w:b/>
                <w:sz w:val="18"/>
              </w:rPr>
              <w:t>Ergebnisse</w:t>
            </w:r>
            <w:r w:rsidR="006354D1">
              <w:rPr>
                <w:b/>
                <w:sz w:val="18"/>
              </w:rPr>
              <w:t xml:space="preserve"> und ihre </w:t>
            </w:r>
            <w:r w:rsidR="007E19FC">
              <w:rPr>
                <w:b/>
                <w:sz w:val="18"/>
              </w:rPr>
              <w:t>voraussichtliche</w:t>
            </w:r>
            <w:r w:rsidR="006354D1">
              <w:rPr>
                <w:b/>
                <w:sz w:val="18"/>
              </w:rPr>
              <w:t xml:space="preserve"> Nachhaltigkeit</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15626B" w:rsidP="0015626B">
            <w:pPr>
              <w:snapToGrid w:val="0"/>
              <w:spacing w:before="40" w:after="40"/>
              <w:rPr>
                <w:sz w:val="18"/>
              </w:rPr>
            </w:pPr>
            <w:r>
              <w:rPr>
                <w:sz w:val="18"/>
              </w:rPr>
              <w:t>B</w:t>
            </w:r>
            <w:r w:rsidR="000A33E0">
              <w:rPr>
                <w:sz w:val="18"/>
              </w:rPr>
              <w:t xml:space="preserve">is Ende 2015 sollen zwei Wasserversorgungssysteme für 3‘000 Personen </w:t>
            </w:r>
            <w:r>
              <w:rPr>
                <w:sz w:val="18"/>
              </w:rPr>
              <w:t xml:space="preserve">und 9 Schulen </w:t>
            </w:r>
            <w:r w:rsidR="000A33E0">
              <w:rPr>
                <w:sz w:val="18"/>
              </w:rPr>
              <w:t>wieder nachhaltig funktionieren, wobei sich 80% der Nutzniesser am Projekt mitbeteiligen und schliesslich auch den Wasserverbrauch bezahlen sollen (bis anhin werden Betrieb und Unterhalt nicht durch die Verbraucher finanziert). 4‘000 Personen werden für den Bau von verbesserten Latrinen sensibilisiert</w:t>
            </w:r>
            <w:r>
              <w:rPr>
                <w:sz w:val="18"/>
              </w:rPr>
              <w:t xml:space="preserve"> und subventioniert (Subventionen nicht Teil des Antrags)</w:t>
            </w:r>
            <w:r w:rsidR="000A33E0">
              <w:rPr>
                <w:sz w:val="18"/>
              </w:rPr>
              <w:t>.</w:t>
            </w:r>
            <w:r>
              <w:rPr>
                <w:sz w:val="18"/>
              </w:rPr>
              <w:t xml:space="preserve"> Aufgrund der fundierten Vorarbeit/Planung, des ganzheitlichen und angepassten Ansatzes, der lang-jährigen Erfahrung der Partnerorganisation vor Ort (Helvetas) und der früheren Resultate (Phase 1) kann die voraussichtliche Nachhaltigkeit des Unterfanges (welches in einem Mittelfristigen Gesamtrahmen steht) als hoch eingeschätzt werden.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5. </w:t>
            </w:r>
            <w:r w:rsidR="006354D1">
              <w:rPr>
                <w:b/>
                <w:sz w:val="18"/>
              </w:rPr>
              <w:t>Risiken</w:t>
            </w:r>
            <w:r w:rsidR="00D52C36" w:rsidRPr="006354D1">
              <w:rPr>
                <w:b/>
                <w:sz w:val="18"/>
              </w:rPr>
              <w:t xml:space="preserve"> </w:t>
            </w:r>
            <w:r w:rsidR="006354D1">
              <w:rPr>
                <w:b/>
                <w:sz w:val="18"/>
              </w:rPr>
              <w:t>und ihre Milderung</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4B5395" w:rsidP="005062AE">
            <w:pPr>
              <w:snapToGrid w:val="0"/>
              <w:spacing w:before="40" w:after="40"/>
              <w:rPr>
                <w:sz w:val="18"/>
              </w:rPr>
            </w:pPr>
            <w:r>
              <w:rPr>
                <w:sz w:val="18"/>
              </w:rPr>
              <w:t xml:space="preserve">Die Hauptrisiken des Unterfangens werden angesprochen und weitgehend </w:t>
            </w:r>
            <w:r w:rsidR="0084708D">
              <w:rPr>
                <w:sz w:val="18"/>
              </w:rPr>
              <w:t>angegangen. Einerseits, betref</w:t>
            </w:r>
            <w:r w:rsidR="005062AE">
              <w:rPr>
                <w:sz w:val="18"/>
              </w:rPr>
              <w:t>fend Wassermenge/</w:t>
            </w:r>
            <w:r w:rsidR="0015626B">
              <w:rPr>
                <w:sz w:val="18"/>
              </w:rPr>
              <w:t>Qualität</w:t>
            </w:r>
            <w:r w:rsidR="002962BA">
              <w:rPr>
                <w:sz w:val="18"/>
              </w:rPr>
              <w:t xml:space="preserve">, liefern die Quellen </w:t>
            </w:r>
            <w:r w:rsidR="005062AE">
              <w:rPr>
                <w:sz w:val="18"/>
              </w:rPr>
              <w:t>ausgewiesen</w:t>
            </w:r>
            <w:r w:rsidR="002962BA">
              <w:rPr>
                <w:sz w:val="18"/>
              </w:rPr>
              <w:t xml:space="preserve"> ausreichend Wasser und werden mit Quel</w:t>
            </w:r>
            <w:r w:rsidR="005062AE">
              <w:rPr>
                <w:sz w:val="18"/>
              </w:rPr>
              <w:t>lschutzmass-nahme</w:t>
            </w:r>
            <w:r w:rsidR="002962BA">
              <w:rPr>
                <w:sz w:val="18"/>
              </w:rPr>
              <w:t>n versehen.</w:t>
            </w:r>
            <w:r w:rsidR="005062AE">
              <w:rPr>
                <w:sz w:val="18"/>
              </w:rPr>
              <w:t xml:space="preserve"> Andererseits wird erwartet, dass die finanzielle Nachhaltigkeit von Betrieb und Unterhalt mass-geblich verbessert wird (Rehabilitation, Zapfstellgemeinschaften, Wassermeter und Wasserpreis, Vergrösserung Versorgungsgebiet, Ausbildung lokaler Verantwortlicher). Gemäss Wasserkodex muss die Gemeinde allfällige Defizite übernehmen.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6. </w:t>
            </w:r>
            <w:r w:rsidR="007E19FC">
              <w:rPr>
                <w:b/>
                <w:sz w:val="18"/>
              </w:rPr>
              <w:t>Verhältnis zwischen</w:t>
            </w:r>
            <w:r w:rsidRPr="006354D1">
              <w:rPr>
                <w:b/>
                <w:sz w:val="18"/>
              </w:rPr>
              <w:t xml:space="preserve"> </w:t>
            </w:r>
            <w:r w:rsidR="007E19FC" w:rsidRPr="006354D1">
              <w:rPr>
                <w:b/>
                <w:sz w:val="18"/>
              </w:rPr>
              <w:t>Inputs</w:t>
            </w:r>
            <w:r w:rsidRPr="006354D1">
              <w:rPr>
                <w:b/>
                <w:sz w:val="18"/>
              </w:rPr>
              <w:t xml:space="preserve"> </w:t>
            </w:r>
            <w:r w:rsidR="007E19FC">
              <w:rPr>
                <w:b/>
                <w:sz w:val="18"/>
              </w:rPr>
              <w:t>und</w:t>
            </w:r>
            <w:r w:rsidR="00576201" w:rsidRPr="006354D1">
              <w:rPr>
                <w:b/>
                <w:sz w:val="18"/>
              </w:rPr>
              <w:t xml:space="preserve"> </w:t>
            </w:r>
            <w:r w:rsidR="007E19FC" w:rsidRPr="006354D1">
              <w:rPr>
                <w:b/>
                <w:sz w:val="18"/>
              </w:rPr>
              <w:t>Outputs</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6354D1" w:rsidRDefault="0084708D" w:rsidP="00E81306">
            <w:pPr>
              <w:snapToGrid w:val="0"/>
              <w:spacing w:before="40" w:after="40"/>
              <w:rPr>
                <w:sz w:val="18"/>
              </w:rPr>
            </w:pPr>
            <w:r>
              <w:rPr>
                <w:sz w:val="18"/>
              </w:rPr>
              <w:t>De</w:t>
            </w:r>
            <w:r w:rsidR="005635EA">
              <w:rPr>
                <w:sz w:val="18"/>
              </w:rPr>
              <w:t>m erwarteten Resultat (</w:t>
            </w:r>
            <w:r>
              <w:rPr>
                <w:sz w:val="18"/>
              </w:rPr>
              <w:t xml:space="preserve">Trinkwasser für 3‘000 </w:t>
            </w:r>
            <w:r w:rsidR="004B46C5">
              <w:rPr>
                <w:sz w:val="18"/>
              </w:rPr>
              <w:t>Personen und 9 Schulen) steht ein Gesamtaufwand von rund CHF 49‘000 gegenüber – 10%</w:t>
            </w:r>
            <w:r w:rsidR="005635EA">
              <w:rPr>
                <w:sz w:val="18"/>
              </w:rPr>
              <w:t xml:space="preserve"> der </w:t>
            </w:r>
            <w:r w:rsidR="004B46C5">
              <w:rPr>
                <w:sz w:val="18"/>
              </w:rPr>
              <w:t xml:space="preserve">Summe wird direkt von den Begünstigten übernommen (Grabkosten </w:t>
            </w:r>
            <w:r w:rsidR="005635EA">
              <w:rPr>
                <w:sz w:val="18"/>
              </w:rPr>
              <w:t>+</w:t>
            </w:r>
            <w:r w:rsidR="004B46C5">
              <w:rPr>
                <w:sz w:val="18"/>
              </w:rPr>
              <w:t xml:space="preserve"> Materialtrans</w:t>
            </w:r>
            <w:r w:rsidR="005635EA">
              <w:rPr>
                <w:sz w:val="18"/>
              </w:rPr>
              <w:t>-</w:t>
            </w:r>
            <w:r w:rsidR="004B46C5">
              <w:rPr>
                <w:sz w:val="18"/>
              </w:rPr>
              <w:t xml:space="preserve">port), und die </w:t>
            </w:r>
            <w:r w:rsidR="005635EA">
              <w:rPr>
                <w:sz w:val="18"/>
              </w:rPr>
              <w:t>Gemeinde</w:t>
            </w:r>
            <w:r w:rsidR="004B46C5">
              <w:rPr>
                <w:sz w:val="18"/>
              </w:rPr>
              <w:t xml:space="preserve"> Münsingen (</w:t>
            </w:r>
            <w:r w:rsidR="005635EA">
              <w:rPr>
                <w:sz w:val="18"/>
              </w:rPr>
              <w:t xml:space="preserve">CHF </w:t>
            </w:r>
            <w:r w:rsidR="004B46C5">
              <w:rPr>
                <w:sz w:val="18"/>
              </w:rPr>
              <w:t>30‘000)</w:t>
            </w:r>
            <w:r w:rsidR="005635EA">
              <w:rPr>
                <w:sz w:val="18"/>
              </w:rPr>
              <w:t xml:space="preserve"> zusammen mit Infrawerk Münsingen (CHF 14‘000) erbringen die restlichen 90%.</w:t>
            </w:r>
            <w:r w:rsidR="00E81306">
              <w:rPr>
                <w:sz w:val="18"/>
              </w:rPr>
              <w:t xml:space="preserve"> Dabei gehen rund 75% in die</w:t>
            </w:r>
            <w:r w:rsidR="005635EA">
              <w:rPr>
                <w:sz w:val="18"/>
              </w:rPr>
              <w:t xml:space="preserve"> Ha</w:t>
            </w:r>
            <w:r w:rsidR="00E81306">
              <w:rPr>
                <w:sz w:val="18"/>
              </w:rPr>
              <w:t>rdware</w:t>
            </w:r>
            <w:r w:rsidR="005635EA">
              <w:rPr>
                <w:sz w:val="18"/>
              </w:rPr>
              <w:t xml:space="preserve">. Gesamthaft </w:t>
            </w:r>
            <w:r w:rsidR="00E81306">
              <w:rPr>
                <w:sz w:val="18"/>
              </w:rPr>
              <w:t>gesehen</w:t>
            </w:r>
            <w:r w:rsidR="005635EA">
              <w:rPr>
                <w:sz w:val="18"/>
              </w:rPr>
              <w:t xml:space="preserve"> ergeben sich daraus pro Kopf Kosten von lediglich  ~CHF 12.-, was für </w:t>
            </w:r>
            <w:r w:rsidR="00E81306">
              <w:rPr>
                <w:sz w:val="18"/>
              </w:rPr>
              <w:t xml:space="preserve">(hauptsächlich) </w:t>
            </w:r>
            <w:r w:rsidR="005635EA">
              <w:rPr>
                <w:sz w:val="18"/>
              </w:rPr>
              <w:t>Rehabilitationsarbeiten als effizient betrachtet werden kann.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7. </w:t>
            </w:r>
            <w:r w:rsidR="007E19FC">
              <w:rPr>
                <w:b/>
                <w:sz w:val="18"/>
              </w:rPr>
              <w:t>Bemerkungen</w:t>
            </w:r>
          </w:p>
        </w:tc>
      </w:tr>
      <w:tr w:rsidR="008F5037" w:rsidRPr="006354D1" w:rsidTr="001C6B85">
        <w:trPr>
          <w:jc w:val="center"/>
        </w:trPr>
        <w:tc>
          <w:tcPr>
            <w:tcW w:w="9498" w:type="dxa"/>
            <w:tcBorders>
              <w:left w:val="single" w:sz="4" w:space="0" w:color="000000"/>
              <w:bottom w:val="single" w:sz="4" w:space="0" w:color="000000"/>
              <w:right w:val="single" w:sz="4" w:space="0" w:color="000000"/>
            </w:tcBorders>
          </w:tcPr>
          <w:p w:rsidR="008F5037" w:rsidRPr="006354D1" w:rsidRDefault="008F5037" w:rsidP="001C6B85">
            <w:pPr>
              <w:pStyle w:val="BodyText2"/>
              <w:spacing w:before="40" w:after="40"/>
              <w:rPr>
                <w:sz w:val="18"/>
              </w:rPr>
            </w:pPr>
            <w:r>
              <w:rPr>
                <w:sz w:val="18"/>
              </w:rPr>
              <w:t>Es handelt sich um eine Folgephase (Projektphase 2, 2014/2015) eines Gesamtprojekts in der Gemeinde Masindray (2011-2017), für welches schon für das Jahr 2011/2012 ein Antrag an Solidarit’eau gestellt wurde und die damalige Zweitmeinung die Finanzierung empfahl. Die Projektphase 1 wurde mittlerweile auch erfolgreich abgeschlossen.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7E19FC">
            <w:pPr>
              <w:snapToGrid w:val="0"/>
              <w:spacing w:before="40" w:after="40"/>
              <w:rPr>
                <w:b/>
                <w:sz w:val="18"/>
              </w:rPr>
            </w:pPr>
            <w:r>
              <w:rPr>
                <w:b/>
                <w:sz w:val="18"/>
              </w:rPr>
              <w:lastRenderedPageBreak/>
              <w:t>Datum, Verfasser der Zweitmeinung und Kontaktdetails</w:t>
            </w:r>
          </w:p>
        </w:tc>
      </w:tr>
      <w:tr w:rsidR="009B3753" w:rsidRPr="006354D1">
        <w:trPr>
          <w:cantSplit/>
          <w:jc w:val="center"/>
        </w:trPr>
        <w:tc>
          <w:tcPr>
            <w:tcW w:w="9498" w:type="dxa"/>
            <w:tcBorders>
              <w:left w:val="single" w:sz="4" w:space="0" w:color="000000"/>
              <w:bottom w:val="single" w:sz="4" w:space="0" w:color="000000"/>
              <w:right w:val="single" w:sz="4" w:space="0" w:color="000000"/>
            </w:tcBorders>
          </w:tcPr>
          <w:p w:rsidR="005A6B03" w:rsidRPr="006354D1" w:rsidRDefault="004B5395" w:rsidP="004B5395">
            <w:pPr>
              <w:snapToGrid w:val="0"/>
              <w:spacing w:before="40" w:after="40"/>
              <w:rPr>
                <w:sz w:val="18"/>
              </w:rPr>
            </w:pPr>
            <w:r w:rsidRPr="004B5395">
              <w:rPr>
                <w:sz w:val="18"/>
              </w:rPr>
              <w:t>26. M</w:t>
            </w:r>
            <w:r>
              <w:rPr>
                <w:sz w:val="18"/>
              </w:rPr>
              <w:t>ärz 2015</w:t>
            </w:r>
            <w:r w:rsidRPr="004B5395">
              <w:rPr>
                <w:sz w:val="18"/>
              </w:rPr>
              <w:t xml:space="preserve">, </w:t>
            </w:r>
            <w:r>
              <w:rPr>
                <w:sz w:val="18"/>
              </w:rPr>
              <w:t>Roger Schmid</w:t>
            </w:r>
            <w:r w:rsidRPr="004B5395">
              <w:rPr>
                <w:sz w:val="18"/>
              </w:rPr>
              <w:t xml:space="preserve">, </w:t>
            </w:r>
            <w:r>
              <w:rPr>
                <w:sz w:val="18"/>
              </w:rPr>
              <w:t xml:space="preserve">Water and Environmental Sanitation Specialist, Skat Consulting Ltd., Vadianstrasse 42, 9000 St. Gallen, 071 228 54 38, </w:t>
            </w:r>
            <w:hyperlink r:id="rId8" w:history="1">
              <w:r w:rsidRPr="00D456DD">
                <w:rPr>
                  <w:rStyle w:val="Hyperlink"/>
                  <w:sz w:val="18"/>
                </w:rPr>
                <w:t>roger.schmid@skat.ch</w:t>
              </w:r>
            </w:hyperlink>
          </w:p>
        </w:tc>
      </w:tr>
    </w:tbl>
    <w:p w:rsidR="009B3753" w:rsidRPr="006354D1" w:rsidRDefault="009B3753">
      <w:pPr>
        <w:pStyle w:val="List"/>
        <w:spacing w:before="120" w:after="40"/>
        <w:jc w:val="right"/>
        <w:rPr>
          <w:sz w:val="2"/>
        </w:rPr>
      </w:pPr>
      <w:bookmarkStart w:id="0" w:name="_GoBack"/>
      <w:bookmarkEnd w:id="0"/>
    </w:p>
    <w:sectPr w:rsidR="009B3753" w:rsidRPr="006354D1">
      <w:headerReference w:type="default" r:id="rId9"/>
      <w:footerReference w:type="default" r:id="rId10"/>
      <w:footnotePr>
        <w:pos w:val="beneathText"/>
      </w:footnotePr>
      <w:pgSz w:w="11900" w:h="16837"/>
      <w:pgMar w:top="1134" w:right="1134" w:bottom="851" w:left="1134" w:header="709"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26" w:rsidRDefault="00DB6426">
      <w:r>
        <w:separator/>
      </w:r>
    </w:p>
  </w:endnote>
  <w:endnote w:type="continuationSeparator" w:id="0">
    <w:p w:rsidR="00DB6426" w:rsidRDefault="00DB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3" w:rsidRDefault="009B3753">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26" w:rsidRDefault="00DB6426">
      <w:r>
        <w:separator/>
      </w:r>
    </w:p>
  </w:footnote>
  <w:footnote w:type="continuationSeparator" w:id="0">
    <w:p w:rsidR="00DB6426" w:rsidRDefault="00DB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3" w:rsidRDefault="00B74DC2" w:rsidP="005A6B03">
    <w:pPr>
      <w:pStyle w:val="Header"/>
      <w:jc w:val="right"/>
      <w:rPr>
        <w:szCs w:val="20"/>
      </w:rPr>
    </w:pPr>
    <w:r>
      <w:rPr>
        <w:noProof/>
        <w:szCs w:val="20"/>
        <w:lang w:eastAsia="de-CH"/>
      </w:rPr>
      <w:drawing>
        <wp:inline distT="0" distB="0" distL="0" distR="0">
          <wp:extent cx="2510155" cy="3708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622"/>
                  <a:stretch>
                    <a:fillRect/>
                  </a:stretch>
                </pic:blipFill>
                <pic:spPr bwMode="auto">
                  <a:xfrm>
                    <a:off x="0" y="0"/>
                    <a:ext cx="2510155" cy="370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C"/>
    <w:rsid w:val="000A33E0"/>
    <w:rsid w:val="0015626B"/>
    <w:rsid w:val="00197F33"/>
    <w:rsid w:val="001E466E"/>
    <w:rsid w:val="002962BA"/>
    <w:rsid w:val="004B46C5"/>
    <w:rsid w:val="004B5395"/>
    <w:rsid w:val="005022CB"/>
    <w:rsid w:val="005062AE"/>
    <w:rsid w:val="005635EA"/>
    <w:rsid w:val="00576201"/>
    <w:rsid w:val="00584FFC"/>
    <w:rsid w:val="005A6B03"/>
    <w:rsid w:val="006354D1"/>
    <w:rsid w:val="007B5B78"/>
    <w:rsid w:val="007E19FC"/>
    <w:rsid w:val="0083588E"/>
    <w:rsid w:val="0084708D"/>
    <w:rsid w:val="008F5037"/>
    <w:rsid w:val="009B3753"/>
    <w:rsid w:val="00A22EE2"/>
    <w:rsid w:val="00B74DC2"/>
    <w:rsid w:val="00D52C36"/>
    <w:rsid w:val="00D819DA"/>
    <w:rsid w:val="00DB5BD5"/>
    <w:rsid w:val="00DB6426"/>
    <w:rsid w:val="00E81306"/>
    <w:rsid w:val="00EA129F"/>
    <w:rsid w:val="00F369B1"/>
    <w:rsid w:val="00F40DDC"/>
    <w:rsid w:val="00FA6A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4B5395"/>
    <w:pPr>
      <w:spacing w:before="0"/>
    </w:pPr>
    <w:rPr>
      <w:rFonts w:ascii="Tahoma" w:hAnsi="Tahoma" w:cs="Tahoma"/>
      <w:sz w:val="16"/>
      <w:szCs w:val="16"/>
    </w:rPr>
  </w:style>
  <w:style w:type="character" w:customStyle="1" w:styleId="BalloonTextChar">
    <w:name w:val="Balloon Text Char"/>
    <w:basedOn w:val="DefaultParagraphFont"/>
    <w:link w:val="BalloonText"/>
    <w:rsid w:val="004B539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4B5395"/>
    <w:pPr>
      <w:spacing w:before="0"/>
    </w:pPr>
    <w:rPr>
      <w:rFonts w:ascii="Tahoma" w:hAnsi="Tahoma" w:cs="Tahoma"/>
      <w:sz w:val="16"/>
      <w:szCs w:val="16"/>
    </w:rPr>
  </w:style>
  <w:style w:type="character" w:customStyle="1" w:styleId="BalloonTextChar">
    <w:name w:val="Balloon Text Char"/>
    <w:basedOn w:val="DefaultParagraphFont"/>
    <w:link w:val="BalloonText"/>
    <w:rsid w:val="004B539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schmid@skat.ch"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54466-425C-4091-B13E-839BC2CD9141}"/>
</file>

<file path=customXml/itemProps2.xml><?xml version="1.0" encoding="utf-8"?>
<ds:datastoreItem xmlns:ds="http://schemas.openxmlformats.org/officeDocument/2006/customXml" ds:itemID="{175069BB-E1D7-4456-ABEA-478912AC0558}"/>
</file>

<file path=customXml/itemProps3.xml><?xml version="1.0" encoding="utf-8"?>
<ds:datastoreItem xmlns:ds="http://schemas.openxmlformats.org/officeDocument/2006/customXml" ds:itemID="{54C1EEA0-6FC1-46CA-AFCC-5FEC6129621C}"/>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Solidarit’Eau Suisse Aguasan 2nd opinion</vt:lpstr>
    </vt:vector>
  </TitlesOfParts>
  <Company>HP</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10</cp:revision>
  <cp:lastPrinted>2015-03-27T10:45:00Z</cp:lastPrinted>
  <dcterms:created xsi:type="dcterms:W3CDTF">2015-03-27T07:41:00Z</dcterms:created>
  <dcterms:modified xsi:type="dcterms:W3CDTF">2015-03-27T10:45:00Z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