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3824" w:rsidRPr="006F1AAF" w:rsidRDefault="0095018A">
      <w:pPr>
        <w:rPr>
          <w:b/>
          <w:sz w:val="12"/>
          <w:lang w:val="fr-CH"/>
        </w:rPr>
      </w:pPr>
      <w:r w:rsidRPr="006F1AAF">
        <w:rPr>
          <w:noProof/>
          <w:sz w:val="6"/>
          <w:lang w:eastAsia="de-CH"/>
        </w:rPr>
        <mc:AlternateContent>
          <mc:Choice Requires="wps">
            <w:drawing>
              <wp:anchor distT="0" distB="0" distL="114300" distR="114300" simplePos="0" relativeHeight="251657728" behindDoc="0" locked="0" layoutInCell="1" allowOverlap="1" wp14:anchorId="69C924A7" wp14:editId="648FFB79">
                <wp:simplePos x="0" y="0"/>
                <wp:positionH relativeFrom="column">
                  <wp:posOffset>39370</wp:posOffset>
                </wp:positionH>
                <wp:positionV relativeFrom="paragraph">
                  <wp:posOffset>-21286</wp:posOffset>
                </wp:positionV>
                <wp:extent cx="5991225" cy="261620"/>
                <wp:effectExtent l="0" t="0" r="2857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61620"/>
                        </a:xfrm>
                        <a:prstGeom prst="rect">
                          <a:avLst/>
                        </a:prstGeom>
                        <a:solidFill>
                          <a:srgbClr val="FFFFFF"/>
                        </a:solidFill>
                        <a:ln w="9525">
                          <a:solidFill>
                            <a:srgbClr val="000000"/>
                          </a:solidFill>
                          <a:miter lim="800000"/>
                          <a:headEnd/>
                          <a:tailEnd/>
                        </a:ln>
                      </wps:spPr>
                      <wps:txbx>
                        <w:txbxContent>
                          <w:p w:rsidR="003219BF" w:rsidRPr="003219BF" w:rsidRDefault="003219BF">
                            <w:pPr>
                              <w:spacing w:before="0"/>
                              <w:jc w:val="center"/>
                              <w:rPr>
                                <w:b/>
                                <w:bCs/>
                                <w:lang w:val="fr-CH"/>
                              </w:rPr>
                            </w:pPr>
                            <w:bookmarkStart w:id="0" w:name="_GoBack"/>
                            <w:r w:rsidRPr="003219BF">
                              <w:rPr>
                                <w:b/>
                                <w:bCs/>
                                <w:lang w:val="fr-CH"/>
                              </w:rPr>
                              <w:t xml:space="preserve">Association Singla-Népal / </w:t>
                            </w:r>
                            <w:bookmarkStart w:id="1" w:name="OLE_LINK1"/>
                            <w:r w:rsidRPr="003219BF">
                              <w:rPr>
                                <w:b/>
                                <w:bCs/>
                                <w:lang w:val="fr-CH"/>
                              </w:rPr>
                              <w:t xml:space="preserve">Adduction d'eau dans le district de </w:t>
                            </w:r>
                            <w:bookmarkEnd w:id="1"/>
                            <w:r w:rsidRPr="003219BF">
                              <w:rPr>
                                <w:b/>
                                <w:bCs/>
                                <w:lang w:val="fr-CH"/>
                              </w:rPr>
                              <w:t>Jajarkot (Népal)</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pt;margin-top:-1.7pt;width:471.75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">
                <v:textbox>
                  <w:txbxContent>
                    <w:p w:rsidR="003219BF" w:rsidRPr="003219BF" w:rsidRDefault="003219BF">
                      <w:pPr>
                        <w:spacing w:before="0"/>
                        <w:jc w:val="center"/>
                        <w:rPr>
                          <w:b/>
                          <w:bCs/>
                          <w:lang w:val="fr-CH"/>
                        </w:rPr>
                      </w:pPr>
                      <w:bookmarkStart w:id="2" w:name="_GoBack"/>
                      <w:r w:rsidRPr="003219BF">
                        <w:rPr>
                          <w:b/>
                          <w:bCs/>
                          <w:lang w:val="fr-CH"/>
                        </w:rPr>
                        <w:t xml:space="preserve">Association Singla-Népal / </w:t>
                      </w:r>
                      <w:bookmarkStart w:id="3" w:name="OLE_LINK1"/>
                      <w:r w:rsidRPr="003219BF">
                        <w:rPr>
                          <w:b/>
                          <w:bCs/>
                          <w:lang w:val="fr-CH"/>
                        </w:rPr>
                        <w:t xml:space="preserve">Adduction d'eau dans le district de </w:t>
                      </w:r>
                      <w:bookmarkEnd w:id="3"/>
                      <w:r w:rsidRPr="003219BF">
                        <w:rPr>
                          <w:b/>
                          <w:bCs/>
                          <w:lang w:val="fr-CH"/>
                        </w:rPr>
                        <w:t>Jajarkot (Népal)</w:t>
                      </w:r>
                      <w:bookmarkEnd w:id="2"/>
                    </w:p>
                  </w:txbxContent>
                </v:textbox>
              </v:rect>
            </w:pict>
          </mc:Fallback>
        </mc:AlternateContent>
      </w:r>
    </w:p>
    <w:p w:rsidR="00633824" w:rsidRPr="006F1AAF" w:rsidRDefault="00633824">
      <w:pPr>
        <w:rPr>
          <w:b/>
          <w:sz w:val="12"/>
          <w:lang w:val="fr-CH"/>
        </w:rPr>
      </w:pPr>
    </w:p>
    <w:p w:rsidR="00633824" w:rsidRPr="00A22EE2" w:rsidRDefault="00633824">
      <w:pPr>
        <w:spacing w:before="0" w:after="120"/>
        <w:rPr>
          <w:b/>
          <w:sz w:val="24"/>
          <w:lang w:val="fr-CH"/>
        </w:rPr>
      </w:pPr>
      <w:r w:rsidRPr="00A22EE2">
        <w:rPr>
          <w:b/>
          <w:sz w:val="24"/>
          <w:lang w:val="fr-CH"/>
        </w:rPr>
        <w:t>2</w:t>
      </w:r>
      <w:r w:rsidR="00A22EE2" w:rsidRPr="00A22EE2">
        <w:rPr>
          <w:b/>
          <w:sz w:val="24"/>
          <w:vertAlign w:val="superscript"/>
          <w:lang w:val="fr-CH"/>
        </w:rPr>
        <w:t>ème</w:t>
      </w:r>
      <w:r w:rsidR="00DB3438">
        <w:rPr>
          <w:b/>
          <w:sz w:val="24"/>
          <w:lang w:val="fr-CH"/>
        </w:rPr>
        <w:t xml:space="preserve"> opinion AGUASAN</w:t>
      </w:r>
      <w:r w:rsidRPr="00A22EE2">
        <w:rPr>
          <w:b/>
          <w:sz w:val="24"/>
          <w:lang w:val="fr-CH"/>
        </w:rPr>
        <w:t xml:space="preserve"> </w:t>
      </w:r>
      <w:r w:rsidRPr="00A22EE2">
        <w:rPr>
          <w:bCs/>
          <w:sz w:val="24"/>
          <w:lang w:val="fr-CH"/>
        </w:rPr>
        <w:t>(max. 1 page):</w:t>
      </w:r>
    </w:p>
    <w:tbl>
      <w:tblPr>
        <w:tblW w:w="0" w:type="auto"/>
        <w:jc w:val="center"/>
        <w:tblInd w:w="-5" w:type="dxa"/>
        <w:tblLayout w:type="fixed"/>
        <w:tblLook w:val="0000" w:firstRow="0" w:lastRow="0" w:firstColumn="0" w:lastColumn="0" w:noHBand="0" w:noVBand="0"/>
      </w:tblPr>
      <w:tblGrid>
        <w:gridCol w:w="9498"/>
      </w:tblGrid>
      <w:tr w:rsidR="00633824" w:rsidRPr="00A22EE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633824" w:rsidRPr="00A22EE2" w:rsidRDefault="00A22EE2">
            <w:pPr>
              <w:snapToGrid w:val="0"/>
              <w:spacing w:before="40" w:after="40"/>
              <w:rPr>
                <w:b/>
                <w:sz w:val="18"/>
                <w:lang w:val="fr-CH"/>
              </w:rPr>
            </w:pPr>
            <w:r w:rsidRPr="00A22EE2">
              <w:rPr>
                <w:b/>
                <w:sz w:val="18"/>
                <w:lang w:val="fr-CH"/>
              </w:rPr>
              <w:t>Recommandation</w:t>
            </w:r>
            <w:r w:rsidR="00633824" w:rsidRPr="00A22EE2">
              <w:rPr>
                <w:b/>
                <w:sz w:val="18"/>
                <w:lang w:val="fr-CH"/>
              </w:rPr>
              <w:t xml:space="preserve"> (conclusions</w:t>
            </w:r>
            <w:r>
              <w:rPr>
                <w:b/>
                <w:sz w:val="18"/>
                <w:lang w:val="fr-CH"/>
              </w:rPr>
              <w:t xml:space="preserve"> de l’appréciation</w:t>
            </w:r>
            <w:r w:rsidR="00633824" w:rsidRPr="00A22EE2">
              <w:rPr>
                <w:b/>
                <w:sz w:val="18"/>
                <w:lang w:val="fr-CH"/>
              </w:rPr>
              <w:t>)</w:t>
            </w:r>
          </w:p>
        </w:tc>
      </w:tr>
      <w:tr w:rsidR="00633824" w:rsidRPr="00A22EE2">
        <w:trPr>
          <w:trHeight w:val="64"/>
          <w:jc w:val="center"/>
        </w:trPr>
        <w:tc>
          <w:tcPr>
            <w:tcW w:w="9498" w:type="dxa"/>
            <w:tcBorders>
              <w:left w:val="single" w:sz="4" w:space="0" w:color="000000"/>
              <w:bottom w:val="single" w:sz="4" w:space="0" w:color="000000"/>
              <w:right w:val="single" w:sz="4" w:space="0" w:color="000000"/>
            </w:tcBorders>
          </w:tcPr>
          <w:p w:rsidR="00633824" w:rsidRPr="00A22EE2" w:rsidRDefault="00723749" w:rsidP="003219BF">
            <w:pPr>
              <w:snapToGrid w:val="0"/>
              <w:spacing w:before="40" w:after="40"/>
              <w:rPr>
                <w:sz w:val="18"/>
                <w:lang w:val="fr-CH"/>
              </w:rPr>
            </w:pPr>
            <w:r>
              <w:rPr>
                <w:sz w:val="18"/>
                <w:lang w:val="fr-CH"/>
              </w:rPr>
              <w:t>Le projet est recommandé pour être financé à travers Solidarit’eau.</w:t>
            </w:r>
            <w:r w:rsidR="001D4600">
              <w:rPr>
                <w:sz w:val="18"/>
                <w:lang w:val="fr-CH"/>
              </w:rPr>
              <w:t xml:space="preserve"> </w:t>
            </w:r>
            <w:r w:rsidR="0075310F">
              <w:rPr>
                <w:sz w:val="18"/>
                <w:lang w:val="fr-CH"/>
              </w:rPr>
              <w:t xml:space="preserve">L’expérience précédente de l’organisation au Népal </w:t>
            </w:r>
            <w:r w:rsidR="004E20E5">
              <w:rPr>
                <w:sz w:val="18"/>
                <w:lang w:val="fr-CH"/>
              </w:rPr>
              <w:t>(</w:t>
            </w:r>
            <w:r w:rsidR="003219BF">
              <w:rPr>
                <w:sz w:val="18"/>
                <w:lang w:val="fr-CH"/>
              </w:rPr>
              <w:t>sous</w:t>
            </w:r>
            <w:r w:rsidR="004E20E5">
              <w:rPr>
                <w:sz w:val="18"/>
                <w:lang w:val="fr-CH"/>
              </w:rPr>
              <w:t xml:space="preserve"> Solidarit’eau) et l’encadrement du projet dans le programme de He</w:t>
            </w:r>
            <w:r w:rsidR="003219BF">
              <w:rPr>
                <w:sz w:val="18"/>
                <w:lang w:val="fr-CH"/>
              </w:rPr>
              <w:t>l</w:t>
            </w:r>
            <w:r w:rsidR="004E20E5">
              <w:rPr>
                <w:sz w:val="18"/>
                <w:lang w:val="fr-CH"/>
              </w:rPr>
              <w:t>vetas au Népal (</w:t>
            </w:r>
            <w:r w:rsidR="003219BF">
              <w:rPr>
                <w:sz w:val="18"/>
                <w:lang w:val="fr-CH"/>
              </w:rPr>
              <w:t>organisation</w:t>
            </w:r>
            <w:r w:rsidR="004E20E5">
              <w:rPr>
                <w:sz w:val="18"/>
                <w:lang w:val="fr-CH"/>
              </w:rPr>
              <w:t xml:space="preserve"> très bien positionnée d</w:t>
            </w:r>
            <w:r w:rsidR="003219BF">
              <w:rPr>
                <w:sz w:val="18"/>
                <w:lang w:val="fr-CH"/>
              </w:rPr>
              <w:t>ans le pays avec un très long «track record</w:t>
            </w:r>
            <w:r w:rsidR="004E20E5">
              <w:rPr>
                <w:sz w:val="18"/>
                <w:lang w:val="fr-CH"/>
              </w:rPr>
              <w:t>») sont un garant de succès.</w:t>
            </w:r>
            <w:r w:rsidR="0075310F">
              <w:rPr>
                <w:sz w:val="18"/>
                <w:lang w:val="fr-CH"/>
              </w:rPr>
              <w:t xml:space="preserve"> </w:t>
            </w:r>
            <w:r w:rsidR="001D4600">
              <w:rPr>
                <w:sz w:val="18"/>
                <w:lang w:val="fr-CH"/>
              </w:rPr>
              <w:t>Une attention particulière devrait être accordée aux risques identifiés ci-dessous, c.à.d. la pérennité des sources d’eau captées (en termes de quantité et qualité) et la durabilité financière à long-terme de la gestion des systèmes mis en place.</w:t>
            </w:r>
          </w:p>
        </w:tc>
      </w:tr>
      <w:tr w:rsidR="00633824" w:rsidRPr="00A22EE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633824" w:rsidRPr="00A22EE2" w:rsidRDefault="00A22EE2">
            <w:pPr>
              <w:snapToGrid w:val="0"/>
              <w:spacing w:before="40" w:after="40"/>
              <w:rPr>
                <w:b/>
                <w:sz w:val="18"/>
                <w:lang w:val="fr-CH"/>
              </w:rPr>
            </w:pPr>
            <w:r>
              <w:rPr>
                <w:b/>
                <w:sz w:val="18"/>
                <w:lang w:val="fr-CH"/>
              </w:rPr>
              <w:t>1. Pertinence (bien-fondé)</w:t>
            </w:r>
            <w:r w:rsidR="00633824" w:rsidRPr="00A22EE2">
              <w:rPr>
                <w:b/>
                <w:sz w:val="18"/>
                <w:lang w:val="fr-CH"/>
              </w:rPr>
              <w:t xml:space="preserve"> </w:t>
            </w:r>
            <w:r>
              <w:rPr>
                <w:b/>
                <w:sz w:val="18"/>
                <w:lang w:val="fr-CH"/>
              </w:rPr>
              <w:t>du projet</w:t>
            </w:r>
          </w:p>
        </w:tc>
      </w:tr>
      <w:tr w:rsidR="00633824" w:rsidRPr="00A22EE2">
        <w:trPr>
          <w:trHeight w:val="64"/>
          <w:jc w:val="center"/>
        </w:trPr>
        <w:tc>
          <w:tcPr>
            <w:tcW w:w="9498" w:type="dxa"/>
            <w:tcBorders>
              <w:left w:val="single" w:sz="4" w:space="0" w:color="000000"/>
              <w:bottom w:val="single" w:sz="4" w:space="0" w:color="000000"/>
              <w:right w:val="single" w:sz="4" w:space="0" w:color="000000"/>
            </w:tcBorders>
          </w:tcPr>
          <w:p w:rsidR="00633824" w:rsidRPr="00A22EE2" w:rsidRDefault="00723749" w:rsidP="003219BF">
            <w:pPr>
              <w:snapToGrid w:val="0"/>
              <w:spacing w:before="40" w:after="40"/>
              <w:rPr>
                <w:sz w:val="18"/>
                <w:lang w:val="fr-CH"/>
              </w:rPr>
            </w:pPr>
            <w:r>
              <w:rPr>
                <w:sz w:val="18"/>
                <w:lang w:val="fr-CH"/>
              </w:rPr>
              <w:t xml:space="preserve">Le projet est considéré </w:t>
            </w:r>
            <w:r w:rsidR="0075310F">
              <w:rPr>
                <w:sz w:val="18"/>
                <w:lang w:val="fr-CH"/>
              </w:rPr>
              <w:t>étant très pertinent</w:t>
            </w:r>
            <w:r w:rsidR="003219BF">
              <w:rPr>
                <w:sz w:val="18"/>
                <w:lang w:val="fr-CH"/>
              </w:rPr>
              <w:t>,</w:t>
            </w:r>
            <w:r w:rsidR="0075310F">
              <w:rPr>
                <w:sz w:val="18"/>
                <w:lang w:val="fr-CH"/>
              </w:rPr>
              <w:t xml:space="preserve"> </w:t>
            </w:r>
            <w:r w:rsidR="003219BF">
              <w:rPr>
                <w:sz w:val="18"/>
                <w:lang w:val="fr-CH"/>
              </w:rPr>
              <w:t>consistant</w:t>
            </w:r>
            <w:r w:rsidR="00DF4712" w:rsidRPr="00DF4712">
              <w:rPr>
                <w:sz w:val="18"/>
                <w:lang w:val="fr-CH"/>
              </w:rPr>
              <w:t xml:space="preserve"> à alimenter </w:t>
            </w:r>
            <w:r w:rsidR="0075310F">
              <w:rPr>
                <w:sz w:val="18"/>
                <w:lang w:val="fr-CH"/>
              </w:rPr>
              <w:t xml:space="preserve">nouvellement </w:t>
            </w:r>
            <w:r w:rsidR="00DF4712" w:rsidRPr="00DF4712">
              <w:rPr>
                <w:sz w:val="18"/>
                <w:lang w:val="fr-CH"/>
              </w:rPr>
              <w:t xml:space="preserve">en eau potable </w:t>
            </w:r>
            <w:r w:rsidR="0075310F">
              <w:rPr>
                <w:sz w:val="18"/>
                <w:lang w:val="fr-CH"/>
              </w:rPr>
              <w:t>une communauté agricole reculée et</w:t>
            </w:r>
            <w:r w:rsidR="00DF4712" w:rsidRPr="00DF4712">
              <w:rPr>
                <w:sz w:val="18"/>
                <w:lang w:val="fr-CH"/>
              </w:rPr>
              <w:t xml:space="preserve"> </w:t>
            </w:r>
            <w:r w:rsidR="0075310F">
              <w:rPr>
                <w:sz w:val="18"/>
                <w:lang w:val="fr-CH"/>
              </w:rPr>
              <w:t>dispersée</w:t>
            </w:r>
            <w:r w:rsidR="00E23CE3">
              <w:rPr>
                <w:sz w:val="18"/>
                <w:lang w:val="fr-CH"/>
              </w:rPr>
              <w:t xml:space="preserve"> </w:t>
            </w:r>
            <w:r w:rsidR="00DF4712">
              <w:rPr>
                <w:sz w:val="18"/>
                <w:lang w:val="fr-CH"/>
              </w:rPr>
              <w:t xml:space="preserve">dans </w:t>
            </w:r>
            <w:r w:rsidR="0075310F">
              <w:rPr>
                <w:sz w:val="18"/>
                <w:lang w:val="fr-CH"/>
              </w:rPr>
              <w:t>l’ouest de Népal</w:t>
            </w:r>
            <w:r w:rsidR="003219BF">
              <w:rPr>
                <w:sz w:val="18"/>
                <w:lang w:val="fr-CH"/>
              </w:rPr>
              <w:t xml:space="preserve"> et bénéficiant</w:t>
            </w:r>
            <w:r w:rsidR="00DF4712">
              <w:rPr>
                <w:sz w:val="18"/>
                <w:lang w:val="fr-CH"/>
              </w:rPr>
              <w:t xml:space="preserve"> à une population dont </w:t>
            </w:r>
            <w:r w:rsidR="0075310F">
              <w:rPr>
                <w:sz w:val="18"/>
                <w:lang w:val="fr-CH"/>
              </w:rPr>
              <w:t>~</w:t>
            </w:r>
            <w:r w:rsidR="00DF4712">
              <w:rPr>
                <w:sz w:val="18"/>
                <w:lang w:val="fr-CH"/>
              </w:rPr>
              <w:t xml:space="preserve">80% vit en dessous du seuil de pauvreté. Il inclut des actions d’information, éducation et communication </w:t>
            </w:r>
            <w:r w:rsidR="005A5715">
              <w:rPr>
                <w:sz w:val="18"/>
                <w:lang w:val="fr-CH"/>
              </w:rPr>
              <w:t xml:space="preserve">(IEC) </w:t>
            </w:r>
            <w:r w:rsidR="00DF4712">
              <w:rPr>
                <w:sz w:val="18"/>
                <w:lang w:val="fr-CH"/>
              </w:rPr>
              <w:t xml:space="preserve">sur </w:t>
            </w:r>
            <w:r w:rsidR="003219BF">
              <w:rPr>
                <w:sz w:val="18"/>
                <w:lang w:val="fr-CH"/>
              </w:rPr>
              <w:t>l</w:t>
            </w:r>
            <w:r w:rsidR="00DF4712" w:rsidRPr="00DF4712">
              <w:rPr>
                <w:sz w:val="18"/>
                <w:lang w:val="fr-CH"/>
              </w:rPr>
              <w:t>'hygiène et</w:t>
            </w:r>
            <w:r w:rsidR="00DF4712">
              <w:rPr>
                <w:sz w:val="18"/>
                <w:lang w:val="fr-CH"/>
              </w:rPr>
              <w:t xml:space="preserve"> </w:t>
            </w:r>
            <w:r w:rsidR="003219BF">
              <w:rPr>
                <w:sz w:val="18"/>
                <w:lang w:val="fr-CH"/>
              </w:rPr>
              <w:t>la</w:t>
            </w:r>
            <w:r w:rsidR="0075310F">
              <w:rPr>
                <w:sz w:val="18"/>
                <w:lang w:val="fr-CH"/>
              </w:rPr>
              <w:t xml:space="preserve"> gestion de la ressource</w:t>
            </w:r>
            <w:r w:rsidR="003219BF">
              <w:rPr>
                <w:sz w:val="18"/>
                <w:lang w:val="fr-CH"/>
              </w:rPr>
              <w:t xml:space="preserve"> d’</w:t>
            </w:r>
            <w:r w:rsidR="00DF4712">
              <w:rPr>
                <w:sz w:val="18"/>
                <w:lang w:val="fr-CH"/>
              </w:rPr>
              <w:t>eau.</w:t>
            </w:r>
            <w:r>
              <w:rPr>
                <w:sz w:val="18"/>
                <w:lang w:val="fr-CH"/>
              </w:rPr>
              <w:t xml:space="preserve"> L’intervention </w:t>
            </w:r>
            <w:r w:rsidRPr="00723749">
              <w:rPr>
                <w:sz w:val="18"/>
                <w:lang w:val="fr-CH"/>
              </w:rPr>
              <w:t xml:space="preserve">vise un développement durable </w:t>
            </w:r>
            <w:r w:rsidR="003219BF">
              <w:rPr>
                <w:sz w:val="18"/>
                <w:lang w:val="fr-CH"/>
              </w:rPr>
              <w:t>prenant</w:t>
            </w:r>
            <w:r w:rsidRPr="00723749">
              <w:rPr>
                <w:sz w:val="18"/>
                <w:lang w:val="fr-CH"/>
              </w:rPr>
              <w:t xml:space="preserve"> en compte les aspects sociaux.</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rsidP="00A22EE2">
            <w:pPr>
              <w:tabs>
                <w:tab w:val="left" w:pos="2393"/>
              </w:tabs>
              <w:snapToGrid w:val="0"/>
              <w:spacing w:before="40" w:after="40"/>
              <w:rPr>
                <w:b/>
                <w:sz w:val="18"/>
                <w:lang w:val="fr-CH"/>
              </w:rPr>
            </w:pPr>
            <w:r w:rsidRPr="00A22EE2">
              <w:rPr>
                <w:b/>
                <w:sz w:val="18"/>
                <w:lang w:val="fr-CH"/>
              </w:rPr>
              <w:t xml:space="preserve">2. </w:t>
            </w:r>
            <w:r w:rsidR="00A22EE2">
              <w:rPr>
                <w:b/>
                <w:sz w:val="18"/>
                <w:lang w:val="fr-CH"/>
              </w:rPr>
              <w:t xml:space="preserve">Objectives (et indicateurs) sont-ils SMART? </w:t>
            </w:r>
            <w:r w:rsidR="00A22EE2" w:rsidRPr="00A22EE2">
              <w:rPr>
                <w:sz w:val="16"/>
                <w:szCs w:val="16"/>
                <w:lang w:val="fr-CH"/>
              </w:rPr>
              <w:t>(</w:t>
            </w:r>
            <w:r w:rsidR="00A22EE2" w:rsidRPr="00A22EE2">
              <w:rPr>
                <w:sz w:val="16"/>
                <w:szCs w:val="16"/>
                <w:u w:val="single"/>
                <w:lang w:val="fr-CH"/>
              </w:rPr>
              <w:t>S</w:t>
            </w:r>
            <w:r w:rsidR="00A22EE2" w:rsidRPr="00A22EE2">
              <w:rPr>
                <w:sz w:val="16"/>
                <w:szCs w:val="16"/>
                <w:lang w:val="fr-CH"/>
              </w:rPr>
              <w:t xml:space="preserve">pécifiques, </w:t>
            </w:r>
            <w:r w:rsidR="00A22EE2" w:rsidRPr="00A22EE2">
              <w:rPr>
                <w:sz w:val="16"/>
                <w:szCs w:val="16"/>
                <w:u w:val="single"/>
                <w:lang w:val="fr-CH"/>
              </w:rPr>
              <w:t>M</w:t>
            </w:r>
            <w:r w:rsidR="00A22EE2" w:rsidRPr="00A22EE2">
              <w:rPr>
                <w:sz w:val="16"/>
                <w:szCs w:val="16"/>
                <w:lang w:val="fr-CH"/>
              </w:rPr>
              <w:t>esurable</w:t>
            </w:r>
            <w:r w:rsidR="00A22EE2">
              <w:rPr>
                <w:sz w:val="16"/>
                <w:szCs w:val="16"/>
                <w:lang w:val="fr-CH"/>
              </w:rPr>
              <w:t>s</w:t>
            </w:r>
            <w:r w:rsidR="00A22EE2" w:rsidRPr="00A22EE2">
              <w:rPr>
                <w:sz w:val="16"/>
                <w:szCs w:val="16"/>
                <w:lang w:val="fr-CH"/>
              </w:rPr>
              <w:t xml:space="preserve">, </w:t>
            </w:r>
            <w:r w:rsidR="00A22EE2" w:rsidRPr="00A22EE2">
              <w:rPr>
                <w:sz w:val="16"/>
                <w:szCs w:val="16"/>
                <w:u w:val="single"/>
                <w:lang w:val="fr-CH"/>
              </w:rPr>
              <w:t>A</w:t>
            </w:r>
            <w:r w:rsidR="00A22EE2" w:rsidRPr="00A22EE2">
              <w:rPr>
                <w:sz w:val="16"/>
                <w:szCs w:val="16"/>
                <w:lang w:val="fr-CH"/>
              </w:rPr>
              <w:t>tteignable</w:t>
            </w:r>
            <w:r w:rsidR="00A22EE2">
              <w:rPr>
                <w:sz w:val="16"/>
                <w:szCs w:val="16"/>
                <w:lang w:val="fr-CH"/>
              </w:rPr>
              <w:t>s</w:t>
            </w:r>
            <w:r w:rsidR="00A22EE2" w:rsidRPr="00A22EE2">
              <w:rPr>
                <w:sz w:val="16"/>
                <w:szCs w:val="16"/>
                <w:lang w:val="fr-CH"/>
              </w:rPr>
              <w:t xml:space="preserve">, </w:t>
            </w:r>
            <w:r w:rsidR="00A22EE2" w:rsidRPr="00A22EE2">
              <w:rPr>
                <w:sz w:val="16"/>
                <w:szCs w:val="16"/>
                <w:u w:val="single"/>
                <w:lang w:val="fr-CH"/>
              </w:rPr>
              <w:t>R</w:t>
            </w:r>
            <w:r w:rsidR="00A22EE2" w:rsidRPr="00A22EE2">
              <w:rPr>
                <w:sz w:val="16"/>
                <w:szCs w:val="16"/>
                <w:lang w:val="fr-CH"/>
              </w:rPr>
              <w:t xml:space="preserve">éalistes, définis dans le </w:t>
            </w:r>
            <w:r w:rsidR="00A22EE2" w:rsidRPr="00A22EE2">
              <w:rPr>
                <w:sz w:val="16"/>
                <w:szCs w:val="16"/>
                <w:u w:val="single"/>
                <w:lang w:val="fr-CH"/>
              </w:rPr>
              <w:t>T</w:t>
            </w:r>
            <w:r w:rsidR="00A22EE2" w:rsidRPr="00A22EE2">
              <w:rPr>
                <w:sz w:val="16"/>
                <w:szCs w:val="16"/>
                <w:lang w:val="fr-CH"/>
              </w:rPr>
              <w:t>emps)</w:t>
            </w:r>
          </w:p>
        </w:tc>
      </w:tr>
      <w:tr w:rsidR="00633824" w:rsidRPr="00A22EE2">
        <w:trPr>
          <w:trHeight w:val="64"/>
          <w:jc w:val="center"/>
        </w:trPr>
        <w:tc>
          <w:tcPr>
            <w:tcW w:w="9498" w:type="dxa"/>
            <w:tcBorders>
              <w:left w:val="single" w:sz="4" w:space="0" w:color="000000"/>
              <w:bottom w:val="single" w:sz="4" w:space="0" w:color="000000"/>
              <w:right w:val="single" w:sz="4" w:space="0" w:color="000000"/>
            </w:tcBorders>
          </w:tcPr>
          <w:p w:rsidR="00CB29B5" w:rsidRPr="00A22EE2" w:rsidRDefault="005A5715" w:rsidP="003219BF">
            <w:pPr>
              <w:spacing w:before="40" w:after="40"/>
              <w:rPr>
                <w:sz w:val="18"/>
                <w:lang w:val="fr-CH"/>
              </w:rPr>
            </w:pPr>
            <w:r>
              <w:rPr>
                <w:sz w:val="18"/>
                <w:lang w:val="fr-CH"/>
              </w:rPr>
              <w:t>L’objectif principal du projet est</w:t>
            </w:r>
            <w:r w:rsidR="003219BF">
              <w:rPr>
                <w:sz w:val="18"/>
                <w:lang w:val="fr-CH"/>
              </w:rPr>
              <w:t xml:space="preserve"> de permettre à </w:t>
            </w:r>
            <w:r w:rsidR="00482487">
              <w:rPr>
                <w:sz w:val="18"/>
                <w:lang w:val="fr-CH"/>
              </w:rPr>
              <w:t>6</w:t>
            </w:r>
            <w:r>
              <w:rPr>
                <w:sz w:val="18"/>
                <w:lang w:val="fr-CH"/>
              </w:rPr>
              <w:t xml:space="preserve">00 habitants d’obtenir un accès sûr et pérenne à l’eau potable. Le projet </w:t>
            </w:r>
            <w:r w:rsidR="00482487">
              <w:rPr>
                <w:sz w:val="18"/>
                <w:lang w:val="fr-CH"/>
              </w:rPr>
              <w:t xml:space="preserve">(captage de 7 sources, pose de 2.9 km de conduites de transport, construction de 7 réservoirs, pose de 2.5 km de conduites de distribution, mise en place de 20 bornes fontaines - y inclus école et dispensaire) </w:t>
            </w:r>
            <w:r>
              <w:rPr>
                <w:sz w:val="18"/>
                <w:lang w:val="fr-CH"/>
              </w:rPr>
              <w:t xml:space="preserve">sera </w:t>
            </w:r>
            <w:r w:rsidR="00482487">
              <w:rPr>
                <w:sz w:val="18"/>
                <w:lang w:val="fr-CH"/>
              </w:rPr>
              <w:t>réalisé</w:t>
            </w:r>
            <w:r>
              <w:rPr>
                <w:sz w:val="18"/>
                <w:lang w:val="fr-CH"/>
              </w:rPr>
              <w:t xml:space="preserve"> en </w:t>
            </w:r>
            <w:r w:rsidR="00482487">
              <w:rPr>
                <w:sz w:val="18"/>
                <w:lang w:val="fr-CH"/>
              </w:rPr>
              <w:t>un an</w:t>
            </w:r>
            <w:r>
              <w:rPr>
                <w:sz w:val="18"/>
                <w:lang w:val="fr-CH"/>
              </w:rPr>
              <w:t xml:space="preserve">. L’objectif est considéré comme réalisable dans le temps, clairement défini et assez spécifique pour l’évaluer en fin de projet. </w:t>
            </w:r>
            <w:r w:rsidR="003219BF">
              <w:rPr>
                <w:sz w:val="18"/>
                <w:lang w:val="fr-CH"/>
              </w:rPr>
              <w:t>Concernant</w:t>
            </w:r>
            <w:r>
              <w:rPr>
                <w:sz w:val="18"/>
                <w:lang w:val="fr-CH"/>
              </w:rPr>
              <w:t xml:space="preserve"> l’IEC en</w:t>
            </w:r>
            <w:r w:rsidRPr="005A5715">
              <w:rPr>
                <w:sz w:val="18"/>
                <w:lang w:val="fr-CH"/>
              </w:rPr>
              <w:t xml:space="preserve"> notions d'hygiène et</w:t>
            </w:r>
            <w:r>
              <w:rPr>
                <w:sz w:val="18"/>
                <w:lang w:val="fr-CH"/>
              </w:rPr>
              <w:t xml:space="preserve"> </w:t>
            </w:r>
            <w:r w:rsidR="00B270AE">
              <w:rPr>
                <w:sz w:val="18"/>
                <w:lang w:val="fr-CH"/>
              </w:rPr>
              <w:t>de gestion de la ressource</w:t>
            </w:r>
            <w:r>
              <w:rPr>
                <w:sz w:val="18"/>
                <w:lang w:val="fr-CH"/>
              </w:rPr>
              <w:t xml:space="preserve">, les cibles et acteurs sont définis, mais aucun indicateur n’est établi pour l’effet recherché. Une étude de base </w:t>
            </w:r>
            <w:r w:rsidR="00246DB3">
              <w:rPr>
                <w:sz w:val="18"/>
                <w:lang w:val="fr-CH"/>
              </w:rPr>
              <w:t xml:space="preserve">sur les </w:t>
            </w:r>
            <w:r w:rsidR="005708AE">
              <w:rPr>
                <w:sz w:val="18"/>
                <w:lang w:val="fr-CH"/>
              </w:rPr>
              <w:t xml:space="preserve">faits, </w:t>
            </w:r>
            <w:r w:rsidR="00246DB3">
              <w:rPr>
                <w:sz w:val="18"/>
                <w:lang w:val="fr-CH"/>
              </w:rPr>
              <w:t xml:space="preserve">comportements et connaissances </w:t>
            </w:r>
            <w:r>
              <w:rPr>
                <w:sz w:val="18"/>
                <w:lang w:val="fr-CH"/>
              </w:rPr>
              <w:t>avant les campagnes d’IEC ainsi qu’une étude</w:t>
            </w:r>
            <w:r w:rsidR="00246DB3">
              <w:rPr>
                <w:sz w:val="18"/>
                <w:lang w:val="fr-CH"/>
              </w:rPr>
              <w:t xml:space="preserve"> y </w:t>
            </w:r>
            <w:r w:rsidR="006F1AAF">
              <w:rPr>
                <w:sz w:val="18"/>
                <w:lang w:val="fr-CH"/>
              </w:rPr>
              <w:t>relative</w:t>
            </w:r>
            <w:r w:rsidR="00246DB3">
              <w:rPr>
                <w:sz w:val="18"/>
                <w:lang w:val="fr-CH"/>
              </w:rPr>
              <w:t xml:space="preserve"> en fin de projet sont recommandées.</w:t>
            </w:r>
            <w:r w:rsidR="0075310F">
              <w:rPr>
                <w:sz w:val="18"/>
                <w:lang w:val="fr-CH"/>
              </w:rPr>
              <w:t xml:space="preserve"> </w:t>
            </w:r>
            <w:r w:rsidR="003219BF">
              <w:rPr>
                <w:sz w:val="18"/>
                <w:lang w:val="fr-CH"/>
              </w:rPr>
              <w:t>Aussi</w:t>
            </w:r>
            <w:r w:rsidR="0075310F">
              <w:rPr>
                <w:sz w:val="18"/>
                <w:lang w:val="fr-CH"/>
              </w:rPr>
              <w:t>, une extension sur l’aspect de latrines, comme pratiquée accessoirement dans le projet précédent, est à envisager.</w:t>
            </w:r>
          </w:p>
        </w:tc>
      </w:tr>
      <w:tr w:rsidR="00633824" w:rsidRPr="00A22EE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633824" w:rsidRPr="00A22EE2" w:rsidRDefault="00633824">
            <w:pPr>
              <w:tabs>
                <w:tab w:val="left" w:pos="2592"/>
              </w:tabs>
              <w:snapToGrid w:val="0"/>
              <w:spacing w:before="40" w:after="40"/>
              <w:rPr>
                <w:b/>
                <w:sz w:val="18"/>
                <w:lang w:val="fr-CH"/>
              </w:rPr>
            </w:pPr>
            <w:r w:rsidRPr="00A22EE2">
              <w:rPr>
                <w:b/>
                <w:sz w:val="18"/>
                <w:lang w:val="fr-CH"/>
              </w:rPr>
              <w:t xml:space="preserve">3. </w:t>
            </w:r>
            <w:r w:rsidR="00A22EE2">
              <w:rPr>
                <w:b/>
                <w:sz w:val="18"/>
                <w:lang w:val="fr-CH"/>
              </w:rPr>
              <w:t>Approches proposées</w:t>
            </w:r>
          </w:p>
        </w:tc>
      </w:tr>
      <w:tr w:rsidR="00633824" w:rsidRPr="00A22EE2">
        <w:trPr>
          <w:jc w:val="center"/>
        </w:trPr>
        <w:tc>
          <w:tcPr>
            <w:tcW w:w="9498" w:type="dxa"/>
            <w:tcBorders>
              <w:left w:val="single" w:sz="4" w:space="0" w:color="000000"/>
              <w:bottom w:val="single" w:sz="4" w:space="0" w:color="000000"/>
              <w:right w:val="single" w:sz="4" w:space="0" w:color="000000"/>
            </w:tcBorders>
          </w:tcPr>
          <w:p w:rsidR="00633824" w:rsidRPr="00A22EE2" w:rsidRDefault="002B0D40" w:rsidP="003219BF">
            <w:pPr>
              <w:snapToGrid w:val="0"/>
              <w:spacing w:before="40" w:after="40"/>
              <w:rPr>
                <w:sz w:val="18"/>
                <w:lang w:val="fr-CH"/>
              </w:rPr>
            </w:pPr>
            <w:r>
              <w:rPr>
                <w:sz w:val="18"/>
                <w:lang w:val="fr-CH"/>
              </w:rPr>
              <w:t xml:space="preserve">Le projet </w:t>
            </w:r>
            <w:r w:rsidR="005701BD">
              <w:rPr>
                <w:sz w:val="18"/>
                <w:lang w:val="fr-CH"/>
              </w:rPr>
              <w:t>appui</w:t>
            </w:r>
            <w:r w:rsidRPr="002B0D40">
              <w:rPr>
                <w:sz w:val="18"/>
                <w:lang w:val="fr-CH"/>
              </w:rPr>
              <w:t xml:space="preserve"> techniquement et financièrement </w:t>
            </w:r>
            <w:r w:rsidR="002E7231">
              <w:rPr>
                <w:sz w:val="18"/>
                <w:lang w:val="fr-CH"/>
              </w:rPr>
              <w:t>une communauté agricole répartie sur 7 sites</w:t>
            </w:r>
            <w:r>
              <w:rPr>
                <w:sz w:val="18"/>
                <w:lang w:val="fr-CH"/>
              </w:rPr>
              <w:t xml:space="preserve"> dans la réalisation de systèmes </w:t>
            </w:r>
            <w:r w:rsidRPr="002B0D40">
              <w:rPr>
                <w:sz w:val="18"/>
                <w:lang w:val="fr-CH"/>
              </w:rPr>
              <w:t>d’addu</w:t>
            </w:r>
            <w:r>
              <w:rPr>
                <w:sz w:val="18"/>
                <w:lang w:val="fr-CH"/>
              </w:rPr>
              <w:t>ction d’eau potable gravitaire</w:t>
            </w:r>
            <w:r w:rsidR="005701BD">
              <w:rPr>
                <w:sz w:val="18"/>
                <w:lang w:val="fr-CH"/>
              </w:rPr>
              <w:t>s</w:t>
            </w:r>
            <w:r w:rsidR="008E5208">
              <w:rPr>
                <w:sz w:val="18"/>
                <w:lang w:val="fr-CH"/>
              </w:rPr>
              <w:t xml:space="preserve"> </w:t>
            </w:r>
            <w:r>
              <w:rPr>
                <w:sz w:val="18"/>
                <w:lang w:val="fr-CH"/>
              </w:rPr>
              <w:t>basés sur de l’</w:t>
            </w:r>
            <w:r w:rsidRPr="002B0D40">
              <w:rPr>
                <w:sz w:val="18"/>
                <w:lang w:val="fr-CH"/>
              </w:rPr>
              <w:t xml:space="preserve">eau </w:t>
            </w:r>
            <w:r w:rsidR="00637270">
              <w:rPr>
                <w:sz w:val="18"/>
                <w:lang w:val="fr-CH"/>
              </w:rPr>
              <w:t>en provenance de</w:t>
            </w:r>
            <w:r w:rsidR="00637270" w:rsidRPr="002B0D40">
              <w:rPr>
                <w:sz w:val="18"/>
                <w:lang w:val="fr-CH"/>
              </w:rPr>
              <w:t xml:space="preserve"> source</w:t>
            </w:r>
            <w:r w:rsidR="00637270">
              <w:rPr>
                <w:sz w:val="18"/>
                <w:lang w:val="fr-CH"/>
              </w:rPr>
              <w:t xml:space="preserve">s de qualité respectant les normes de potabilité </w:t>
            </w:r>
            <w:r w:rsidR="002E7231">
              <w:rPr>
                <w:sz w:val="18"/>
                <w:lang w:val="fr-CH"/>
              </w:rPr>
              <w:t>(</w:t>
            </w:r>
            <w:r>
              <w:rPr>
                <w:sz w:val="18"/>
                <w:lang w:val="fr-CH"/>
              </w:rPr>
              <w:t>ne nécessitant</w:t>
            </w:r>
            <w:r w:rsidRPr="002B0D40">
              <w:rPr>
                <w:sz w:val="18"/>
                <w:lang w:val="fr-CH"/>
              </w:rPr>
              <w:t xml:space="preserve"> aucun traitement</w:t>
            </w:r>
            <w:r w:rsidR="002E7231">
              <w:rPr>
                <w:sz w:val="18"/>
                <w:lang w:val="fr-CH"/>
              </w:rPr>
              <w:t>)</w:t>
            </w:r>
            <w:r w:rsidRPr="002B0D40">
              <w:rPr>
                <w:sz w:val="18"/>
                <w:lang w:val="fr-CH"/>
              </w:rPr>
              <w:t>.</w:t>
            </w:r>
            <w:r>
              <w:rPr>
                <w:sz w:val="18"/>
                <w:lang w:val="fr-CH"/>
              </w:rPr>
              <w:t xml:space="preserve"> </w:t>
            </w:r>
            <w:r w:rsidR="002E7231">
              <w:rPr>
                <w:sz w:val="18"/>
                <w:lang w:val="fr-CH"/>
              </w:rPr>
              <w:t>Le projet est conçu et mis en œuvre par Helvetas Népal, en collaboration avec les villageois et les</w:t>
            </w:r>
            <w:r w:rsidR="005701BD">
              <w:rPr>
                <w:sz w:val="18"/>
                <w:lang w:val="fr-CH"/>
              </w:rPr>
              <w:t xml:space="preserve"> autorités locales, à travers le </w:t>
            </w:r>
            <w:r w:rsidR="00A70FAC" w:rsidRPr="00A70FAC">
              <w:rPr>
                <w:sz w:val="18"/>
                <w:lang w:val="fr-CH"/>
              </w:rPr>
              <w:t xml:space="preserve">Comité de Développement du District de </w:t>
            </w:r>
            <w:r w:rsidR="005701BD">
              <w:rPr>
                <w:sz w:val="18"/>
                <w:lang w:val="fr-CH"/>
              </w:rPr>
              <w:t>Jajarkot (CDDJ)</w:t>
            </w:r>
            <w:r w:rsidR="00A70FAC">
              <w:rPr>
                <w:sz w:val="18"/>
                <w:lang w:val="fr-CH"/>
              </w:rPr>
              <w:t xml:space="preserve"> </w:t>
            </w:r>
            <w:r w:rsidR="005701BD">
              <w:rPr>
                <w:sz w:val="18"/>
                <w:lang w:val="fr-CH"/>
              </w:rPr>
              <w:t>assurant</w:t>
            </w:r>
            <w:r w:rsidRPr="002B0D40">
              <w:rPr>
                <w:sz w:val="18"/>
                <w:lang w:val="fr-CH"/>
              </w:rPr>
              <w:t xml:space="preserve"> la pérennisation (</w:t>
            </w:r>
            <w:r w:rsidR="005701BD">
              <w:rPr>
                <w:sz w:val="18"/>
                <w:lang w:val="fr-CH"/>
              </w:rPr>
              <w:t xml:space="preserve">suivi et </w:t>
            </w:r>
            <w:r w:rsidRPr="002B0D40">
              <w:rPr>
                <w:sz w:val="18"/>
                <w:lang w:val="fr-CH"/>
              </w:rPr>
              <w:t>gestion).</w:t>
            </w:r>
            <w:r w:rsidR="00035507">
              <w:rPr>
                <w:sz w:val="18"/>
                <w:lang w:val="fr-CH"/>
              </w:rPr>
              <w:t xml:space="preserve"> </w:t>
            </w:r>
            <w:r w:rsidR="005701BD">
              <w:rPr>
                <w:sz w:val="18"/>
                <w:lang w:val="fr-CH"/>
              </w:rPr>
              <w:t>Les</w:t>
            </w:r>
            <w:r w:rsidR="00035507" w:rsidRPr="00035507">
              <w:rPr>
                <w:sz w:val="18"/>
                <w:lang w:val="fr-CH"/>
              </w:rPr>
              <w:t xml:space="preserve"> travaux, surtout de fouille et de terrasseme</w:t>
            </w:r>
            <w:r w:rsidR="003219BF">
              <w:rPr>
                <w:sz w:val="18"/>
                <w:lang w:val="fr-CH"/>
              </w:rPr>
              <w:t>nt, s</w:t>
            </w:r>
            <w:r w:rsidR="005701BD">
              <w:rPr>
                <w:sz w:val="18"/>
                <w:lang w:val="fr-CH"/>
              </w:rPr>
              <w:t>ont</w:t>
            </w:r>
            <w:r w:rsidR="00035507" w:rsidRPr="00035507">
              <w:rPr>
                <w:sz w:val="18"/>
                <w:lang w:val="fr-CH"/>
              </w:rPr>
              <w:t xml:space="preserve"> confiée </w:t>
            </w:r>
            <w:r w:rsidR="005701BD">
              <w:rPr>
                <w:sz w:val="18"/>
                <w:lang w:val="fr-CH"/>
              </w:rPr>
              <w:t>aux</w:t>
            </w:r>
            <w:r w:rsidR="00035507" w:rsidRPr="00035507">
              <w:rPr>
                <w:sz w:val="18"/>
                <w:lang w:val="fr-CH"/>
              </w:rPr>
              <w:t xml:space="preserve"> villageoises et villageois </w:t>
            </w:r>
            <w:r w:rsidR="00035507">
              <w:rPr>
                <w:sz w:val="18"/>
                <w:lang w:val="fr-CH"/>
              </w:rPr>
              <w:t xml:space="preserve">intéressés et </w:t>
            </w:r>
            <w:r w:rsidR="005701BD">
              <w:rPr>
                <w:sz w:val="18"/>
                <w:lang w:val="fr-CH"/>
              </w:rPr>
              <w:t>rémunérés</w:t>
            </w:r>
            <w:r w:rsidR="00035507">
              <w:rPr>
                <w:sz w:val="18"/>
                <w:lang w:val="fr-CH"/>
              </w:rPr>
              <w:t xml:space="preserve"> par le projet</w:t>
            </w:r>
            <w:r w:rsidR="00035507" w:rsidRPr="00035507">
              <w:rPr>
                <w:sz w:val="18"/>
                <w:lang w:val="fr-CH"/>
              </w:rPr>
              <w:t>.</w:t>
            </w:r>
            <w:r w:rsidR="00035507">
              <w:rPr>
                <w:sz w:val="18"/>
                <w:lang w:val="fr-CH"/>
              </w:rPr>
              <w:t xml:space="preserve"> </w:t>
            </w:r>
            <w:r w:rsidR="00D867F9">
              <w:rPr>
                <w:sz w:val="18"/>
                <w:lang w:val="fr-CH"/>
              </w:rPr>
              <w:t xml:space="preserve">L’IEC sera </w:t>
            </w:r>
            <w:r w:rsidR="006F1AAF">
              <w:rPr>
                <w:sz w:val="18"/>
                <w:lang w:val="fr-CH"/>
              </w:rPr>
              <w:t>effectuée</w:t>
            </w:r>
            <w:r w:rsidR="00035507" w:rsidRPr="00035507">
              <w:rPr>
                <w:sz w:val="18"/>
                <w:lang w:val="fr-CH"/>
              </w:rPr>
              <w:t xml:space="preserve"> par l'école et </w:t>
            </w:r>
            <w:r w:rsidR="00D867F9">
              <w:rPr>
                <w:sz w:val="18"/>
                <w:lang w:val="fr-CH"/>
              </w:rPr>
              <w:t>le</w:t>
            </w:r>
            <w:r w:rsidR="00035507" w:rsidRPr="00035507">
              <w:rPr>
                <w:sz w:val="18"/>
                <w:lang w:val="fr-CH"/>
              </w:rPr>
              <w:t xml:space="preserve"> </w:t>
            </w:r>
            <w:r w:rsidR="005701BD">
              <w:rPr>
                <w:sz w:val="18"/>
                <w:lang w:val="fr-CH"/>
              </w:rPr>
              <w:t>CDDJ</w:t>
            </w:r>
            <w:r w:rsidR="00035507" w:rsidRPr="00035507">
              <w:rPr>
                <w:sz w:val="18"/>
                <w:lang w:val="fr-CH"/>
              </w:rPr>
              <w:t>.</w:t>
            </w:r>
            <w:r w:rsidR="00D867F9">
              <w:rPr>
                <w:sz w:val="18"/>
                <w:lang w:val="fr-CH"/>
              </w:rPr>
              <w:t xml:space="preserve"> </w:t>
            </w:r>
            <w:r w:rsidR="00CC339B">
              <w:rPr>
                <w:sz w:val="18"/>
                <w:lang w:val="fr-CH"/>
              </w:rPr>
              <w:t>L’approche proposée est appropriée pour ce type d’intervention à complexité réduite.</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pPr>
              <w:snapToGrid w:val="0"/>
              <w:spacing w:before="40" w:after="40"/>
              <w:rPr>
                <w:b/>
                <w:sz w:val="18"/>
                <w:lang w:val="fr-CH"/>
              </w:rPr>
            </w:pPr>
            <w:r w:rsidRPr="00A22EE2">
              <w:rPr>
                <w:b/>
                <w:sz w:val="18"/>
                <w:lang w:val="fr-CH"/>
              </w:rPr>
              <w:t xml:space="preserve">4. </w:t>
            </w:r>
            <w:r w:rsidR="00D52C36">
              <w:rPr>
                <w:b/>
                <w:sz w:val="18"/>
                <w:lang w:val="fr-CH"/>
              </w:rPr>
              <w:t>Résultats attendus du projet et leur durabilité escomptée</w:t>
            </w:r>
          </w:p>
        </w:tc>
      </w:tr>
      <w:tr w:rsidR="00633824" w:rsidRPr="00A22EE2">
        <w:trPr>
          <w:jc w:val="center"/>
        </w:trPr>
        <w:tc>
          <w:tcPr>
            <w:tcW w:w="9498" w:type="dxa"/>
            <w:tcBorders>
              <w:left w:val="single" w:sz="4" w:space="0" w:color="000000"/>
              <w:bottom w:val="single" w:sz="4" w:space="0" w:color="000000"/>
              <w:right w:val="single" w:sz="4" w:space="0" w:color="000000"/>
            </w:tcBorders>
          </w:tcPr>
          <w:p w:rsidR="00633824" w:rsidRPr="00A22EE2" w:rsidRDefault="008264B6" w:rsidP="003219BF">
            <w:pPr>
              <w:snapToGrid w:val="0"/>
              <w:spacing w:before="40" w:after="40"/>
              <w:rPr>
                <w:sz w:val="18"/>
                <w:lang w:val="fr-CH"/>
              </w:rPr>
            </w:pPr>
            <w:r>
              <w:rPr>
                <w:sz w:val="18"/>
                <w:lang w:val="fr-CH"/>
              </w:rPr>
              <w:t>Les</w:t>
            </w:r>
            <w:r w:rsidR="00CB29B5">
              <w:rPr>
                <w:sz w:val="18"/>
                <w:lang w:val="fr-CH"/>
              </w:rPr>
              <w:t xml:space="preserve"> </w:t>
            </w:r>
            <w:r>
              <w:rPr>
                <w:sz w:val="18"/>
                <w:lang w:val="fr-CH"/>
              </w:rPr>
              <w:t>addu</w:t>
            </w:r>
            <w:r w:rsidR="00CB29B5">
              <w:rPr>
                <w:sz w:val="18"/>
                <w:lang w:val="fr-CH"/>
              </w:rPr>
              <w:t xml:space="preserve">ctions d’eau simples </w:t>
            </w:r>
            <w:r>
              <w:rPr>
                <w:sz w:val="18"/>
                <w:lang w:val="fr-CH"/>
              </w:rPr>
              <w:t>seront</w:t>
            </w:r>
            <w:r w:rsidRPr="008264B6">
              <w:rPr>
                <w:sz w:val="18"/>
                <w:lang w:val="fr-CH"/>
              </w:rPr>
              <w:t xml:space="preserve"> </w:t>
            </w:r>
            <w:r>
              <w:rPr>
                <w:sz w:val="18"/>
                <w:lang w:val="fr-CH"/>
              </w:rPr>
              <w:t>exploitables</w:t>
            </w:r>
            <w:r w:rsidRPr="008264B6">
              <w:rPr>
                <w:sz w:val="18"/>
                <w:lang w:val="fr-CH"/>
              </w:rPr>
              <w:t xml:space="preserve"> </w:t>
            </w:r>
            <w:r>
              <w:rPr>
                <w:sz w:val="18"/>
                <w:lang w:val="fr-CH"/>
              </w:rPr>
              <w:t>par les personnes locales et l’entretien (</w:t>
            </w:r>
            <w:r w:rsidRPr="008264B6">
              <w:rPr>
                <w:sz w:val="18"/>
                <w:lang w:val="fr-CH"/>
              </w:rPr>
              <w:t xml:space="preserve">clôtures, captages, </w:t>
            </w:r>
            <w:r>
              <w:rPr>
                <w:sz w:val="18"/>
                <w:lang w:val="fr-CH"/>
              </w:rPr>
              <w:t>condu</w:t>
            </w:r>
            <w:r w:rsidR="00CB29B5">
              <w:rPr>
                <w:sz w:val="18"/>
                <w:lang w:val="fr-CH"/>
              </w:rPr>
              <w:t xml:space="preserve">ites, </w:t>
            </w:r>
            <w:r w:rsidRPr="008264B6">
              <w:rPr>
                <w:sz w:val="18"/>
                <w:lang w:val="fr-CH"/>
              </w:rPr>
              <w:t>brise-énergie</w:t>
            </w:r>
            <w:r w:rsidR="00CB29B5">
              <w:rPr>
                <w:sz w:val="18"/>
                <w:lang w:val="fr-CH"/>
              </w:rPr>
              <w:t>s</w:t>
            </w:r>
            <w:r w:rsidRPr="008264B6">
              <w:rPr>
                <w:sz w:val="18"/>
                <w:lang w:val="fr-CH"/>
              </w:rPr>
              <w:t xml:space="preserve">, </w:t>
            </w:r>
            <w:r w:rsidR="00DB3438">
              <w:rPr>
                <w:sz w:val="18"/>
                <w:lang w:val="fr-CH"/>
              </w:rPr>
              <w:t xml:space="preserve">changement de </w:t>
            </w:r>
            <w:r>
              <w:rPr>
                <w:sz w:val="18"/>
                <w:lang w:val="fr-CH"/>
              </w:rPr>
              <w:t xml:space="preserve">robinets, </w:t>
            </w:r>
            <w:r w:rsidR="00EA0411">
              <w:rPr>
                <w:sz w:val="18"/>
                <w:lang w:val="fr-CH"/>
              </w:rPr>
              <w:t xml:space="preserve">nettoyage </w:t>
            </w:r>
            <w:r w:rsidR="003219BF">
              <w:rPr>
                <w:sz w:val="18"/>
                <w:lang w:val="fr-CH"/>
              </w:rPr>
              <w:t xml:space="preserve">réservoirs), </w:t>
            </w:r>
            <w:r w:rsidR="00CB29B5">
              <w:rPr>
                <w:sz w:val="18"/>
                <w:lang w:val="fr-CH"/>
              </w:rPr>
              <w:t>requérant</w:t>
            </w:r>
            <w:r>
              <w:rPr>
                <w:sz w:val="18"/>
                <w:lang w:val="fr-CH"/>
              </w:rPr>
              <w:t xml:space="preserve"> des</w:t>
            </w:r>
            <w:r w:rsidRPr="008264B6">
              <w:rPr>
                <w:sz w:val="18"/>
                <w:lang w:val="fr-CH"/>
              </w:rPr>
              <w:t xml:space="preserve"> connaissances spécifiques</w:t>
            </w:r>
            <w:r>
              <w:rPr>
                <w:sz w:val="18"/>
                <w:lang w:val="fr-CH"/>
              </w:rPr>
              <w:t xml:space="preserve"> limitées</w:t>
            </w:r>
            <w:r w:rsidR="003219BF">
              <w:rPr>
                <w:sz w:val="18"/>
                <w:lang w:val="fr-CH"/>
              </w:rPr>
              <w:t xml:space="preserve"> seulement, </w:t>
            </w:r>
            <w:r w:rsidR="00CB29B5">
              <w:rPr>
                <w:sz w:val="18"/>
                <w:lang w:val="fr-CH"/>
              </w:rPr>
              <w:t xml:space="preserve">sera </w:t>
            </w:r>
            <w:r w:rsidR="00DB1D28">
              <w:rPr>
                <w:sz w:val="18"/>
                <w:lang w:val="fr-CH"/>
              </w:rPr>
              <w:t>exécuté p</w:t>
            </w:r>
            <w:r w:rsidR="00DB1D28" w:rsidRPr="00DB1D28">
              <w:rPr>
                <w:sz w:val="18"/>
                <w:lang w:val="fr-CH"/>
              </w:rPr>
              <w:t>ar les bénéficiaires</w:t>
            </w:r>
            <w:r w:rsidR="00CB29B5">
              <w:rPr>
                <w:sz w:val="18"/>
                <w:lang w:val="fr-CH"/>
              </w:rPr>
              <w:t xml:space="preserve"> (chaque borne étant </w:t>
            </w:r>
            <w:r w:rsidR="004006DB">
              <w:rPr>
                <w:sz w:val="18"/>
                <w:lang w:val="fr-CH"/>
              </w:rPr>
              <w:t>placée</w:t>
            </w:r>
            <w:r w:rsidR="00CB29B5">
              <w:rPr>
                <w:sz w:val="18"/>
                <w:lang w:val="fr-CH"/>
              </w:rPr>
              <w:t xml:space="preserve"> sous la responsabilité d’une femme)</w:t>
            </w:r>
            <w:r w:rsidR="00DB1D28" w:rsidRPr="00DB1D28">
              <w:rPr>
                <w:sz w:val="18"/>
                <w:lang w:val="fr-CH"/>
              </w:rPr>
              <w:t xml:space="preserve">, aidés par le </w:t>
            </w:r>
            <w:r w:rsidR="00CB29B5">
              <w:rPr>
                <w:sz w:val="18"/>
                <w:lang w:val="fr-CH"/>
              </w:rPr>
              <w:t>CDDJ</w:t>
            </w:r>
            <w:r w:rsidR="00DB1D28" w:rsidRPr="00DB1D28">
              <w:rPr>
                <w:sz w:val="18"/>
                <w:lang w:val="fr-CH"/>
              </w:rPr>
              <w:t>.</w:t>
            </w:r>
            <w:r w:rsidR="008C6033">
              <w:rPr>
                <w:sz w:val="18"/>
                <w:lang w:val="fr-CH"/>
              </w:rPr>
              <w:t xml:space="preserve"> Il </w:t>
            </w:r>
            <w:r w:rsidR="00CB29B5">
              <w:rPr>
                <w:sz w:val="18"/>
                <w:lang w:val="fr-CH"/>
              </w:rPr>
              <w:t>est donc</w:t>
            </w:r>
            <w:r w:rsidR="008C6033">
              <w:rPr>
                <w:sz w:val="18"/>
                <w:lang w:val="fr-CH"/>
              </w:rPr>
              <w:t xml:space="preserve"> important de veiller à la formation de</w:t>
            </w:r>
            <w:r w:rsidR="00CB29B5">
              <w:rPr>
                <w:sz w:val="18"/>
                <w:lang w:val="fr-CH"/>
              </w:rPr>
              <w:t xml:space="preserve"> ces</w:t>
            </w:r>
            <w:r w:rsidR="008C6033">
              <w:rPr>
                <w:sz w:val="18"/>
                <w:lang w:val="fr-CH"/>
              </w:rPr>
              <w:t xml:space="preserve"> personnes responsables pendant l’exécution des travaux et l’opération</w:t>
            </w:r>
            <w:r w:rsidR="00DB3438">
              <w:rPr>
                <w:sz w:val="18"/>
                <w:lang w:val="fr-CH"/>
              </w:rPr>
              <w:t xml:space="preserve"> du système pendant la 1</w:t>
            </w:r>
            <w:r w:rsidR="00DB3438" w:rsidRPr="00DB3438">
              <w:rPr>
                <w:sz w:val="18"/>
                <w:vertAlign w:val="superscript"/>
                <w:lang w:val="fr-CH"/>
              </w:rPr>
              <w:t>ère</w:t>
            </w:r>
            <w:r w:rsidR="00DB3438">
              <w:rPr>
                <w:sz w:val="18"/>
                <w:lang w:val="fr-CH"/>
              </w:rPr>
              <w:t xml:space="preserve"> </w:t>
            </w:r>
            <w:r w:rsidR="008C6033">
              <w:rPr>
                <w:sz w:val="18"/>
                <w:lang w:val="fr-CH"/>
              </w:rPr>
              <w:t>année de fonctionnement.</w:t>
            </w:r>
            <w:r w:rsidR="0020575F">
              <w:rPr>
                <w:sz w:val="18"/>
                <w:lang w:val="fr-CH"/>
              </w:rPr>
              <w:t xml:space="preserve"> La proposition de projet ne fait pas men</w:t>
            </w:r>
            <w:r w:rsidR="00DB3438">
              <w:rPr>
                <w:sz w:val="18"/>
                <w:lang w:val="fr-CH"/>
              </w:rPr>
              <w:t xml:space="preserve">tion d’un système de payement/collecte de fonds </w:t>
            </w:r>
            <w:r w:rsidR="0020575F">
              <w:rPr>
                <w:sz w:val="18"/>
                <w:lang w:val="fr-CH"/>
              </w:rPr>
              <w:t xml:space="preserve">pour les coûts d’entretien, sauf que </w:t>
            </w:r>
            <w:r w:rsidR="00D31AA8">
              <w:rPr>
                <w:sz w:val="18"/>
                <w:lang w:val="fr-CH"/>
              </w:rPr>
              <w:t>l’organisation</w:t>
            </w:r>
            <w:r w:rsidR="0020575F">
              <w:rPr>
                <w:sz w:val="18"/>
                <w:lang w:val="fr-CH"/>
              </w:rPr>
              <w:t xml:space="preserve"> possède un fonds de réserve </w:t>
            </w:r>
            <w:r w:rsidR="0020575F" w:rsidRPr="0020575F">
              <w:rPr>
                <w:sz w:val="18"/>
                <w:lang w:val="fr-CH"/>
              </w:rPr>
              <w:t xml:space="preserve">pour </w:t>
            </w:r>
            <w:r w:rsidR="00DB3438">
              <w:rPr>
                <w:sz w:val="18"/>
                <w:lang w:val="fr-CH"/>
              </w:rPr>
              <w:t>couvrir d’éventuels</w:t>
            </w:r>
            <w:r w:rsidR="0020575F">
              <w:rPr>
                <w:sz w:val="18"/>
                <w:lang w:val="fr-CH"/>
              </w:rPr>
              <w:t xml:space="preserve"> défi</w:t>
            </w:r>
            <w:r w:rsidR="00DB3438">
              <w:rPr>
                <w:sz w:val="18"/>
                <w:lang w:val="fr-CH"/>
              </w:rPr>
              <w:t>cits d’exploitation</w:t>
            </w:r>
            <w:r w:rsidR="0020575F">
              <w:rPr>
                <w:sz w:val="18"/>
                <w:lang w:val="fr-CH"/>
              </w:rPr>
              <w:t>.</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pPr>
              <w:snapToGrid w:val="0"/>
              <w:spacing w:before="40" w:after="40"/>
              <w:rPr>
                <w:b/>
                <w:sz w:val="18"/>
                <w:lang w:val="fr-CH"/>
              </w:rPr>
            </w:pPr>
            <w:r w:rsidRPr="00A22EE2">
              <w:rPr>
                <w:b/>
                <w:sz w:val="18"/>
                <w:lang w:val="fr-CH"/>
              </w:rPr>
              <w:t xml:space="preserve">5. </w:t>
            </w:r>
            <w:r w:rsidR="00D52C36">
              <w:rPr>
                <w:b/>
                <w:sz w:val="18"/>
                <w:lang w:val="fr-CH"/>
              </w:rPr>
              <w:t>Risques et leur</w:t>
            </w:r>
            <w:r w:rsidRPr="00A22EE2">
              <w:rPr>
                <w:b/>
                <w:sz w:val="18"/>
                <w:lang w:val="fr-CH"/>
              </w:rPr>
              <w:t xml:space="preserve"> </w:t>
            </w:r>
            <w:r w:rsidR="00576201">
              <w:rPr>
                <w:b/>
                <w:sz w:val="18"/>
                <w:lang w:val="fr-CH"/>
              </w:rPr>
              <w:t>mitigation</w:t>
            </w:r>
          </w:p>
        </w:tc>
      </w:tr>
      <w:tr w:rsidR="00633824" w:rsidRPr="00A22EE2">
        <w:trPr>
          <w:jc w:val="center"/>
        </w:trPr>
        <w:tc>
          <w:tcPr>
            <w:tcW w:w="9498" w:type="dxa"/>
            <w:tcBorders>
              <w:left w:val="single" w:sz="4" w:space="0" w:color="000000"/>
              <w:bottom w:val="single" w:sz="4" w:space="0" w:color="000000"/>
              <w:right w:val="single" w:sz="4" w:space="0" w:color="000000"/>
            </w:tcBorders>
          </w:tcPr>
          <w:p w:rsidR="00222776" w:rsidRDefault="00222776">
            <w:pPr>
              <w:snapToGrid w:val="0"/>
              <w:spacing w:before="40" w:after="40"/>
              <w:rPr>
                <w:sz w:val="18"/>
                <w:lang w:val="fr-CH"/>
              </w:rPr>
            </w:pPr>
            <w:r>
              <w:rPr>
                <w:sz w:val="18"/>
                <w:lang w:val="fr-CH"/>
              </w:rPr>
              <w:t>L’organisation considère l</w:t>
            </w:r>
            <w:r w:rsidR="001D4600">
              <w:rPr>
                <w:sz w:val="18"/>
                <w:lang w:val="fr-CH"/>
              </w:rPr>
              <w:t xml:space="preserve">es risques de l’intervention </w:t>
            </w:r>
            <w:r>
              <w:rPr>
                <w:sz w:val="18"/>
                <w:lang w:val="fr-CH"/>
              </w:rPr>
              <w:t xml:space="preserve">comme négligeables et mitigés par les suivis techniques et financiers assurés par Helvetas Népal. Cependant, deux risques potentiels sont à prendre en considération: </w:t>
            </w:r>
          </w:p>
          <w:p w:rsidR="001D4600" w:rsidRDefault="001D4600" w:rsidP="001D4600">
            <w:pPr>
              <w:numPr>
                <w:ilvl w:val="0"/>
                <w:numId w:val="3"/>
              </w:numPr>
              <w:snapToGrid w:val="0"/>
              <w:spacing w:before="40" w:after="40"/>
              <w:ind w:left="392" w:hanging="283"/>
              <w:rPr>
                <w:sz w:val="18"/>
                <w:lang w:val="fr-CH"/>
              </w:rPr>
            </w:pPr>
            <w:r>
              <w:rPr>
                <w:sz w:val="18"/>
                <w:lang w:val="fr-CH"/>
              </w:rPr>
              <w:t xml:space="preserve">La pérennité des sources d’eau (en quantité et qualité) pour lesquelles </w:t>
            </w:r>
            <w:r w:rsidR="00420B5B">
              <w:rPr>
                <w:sz w:val="18"/>
                <w:lang w:val="fr-CH"/>
              </w:rPr>
              <w:t xml:space="preserve">peu d’information </w:t>
            </w:r>
            <w:r>
              <w:rPr>
                <w:sz w:val="18"/>
                <w:lang w:val="fr-CH"/>
              </w:rPr>
              <w:t xml:space="preserve">est fournie. En ce qui concerne la quantité d’eau, les observations de longue durée récoltées auprès des villageois complétées par des mesures de débit ponctuels en période sèche devraient guider le choix des </w:t>
            </w:r>
            <w:r w:rsidR="00CB29B5">
              <w:rPr>
                <w:sz w:val="18"/>
                <w:lang w:val="fr-CH"/>
              </w:rPr>
              <w:t xml:space="preserve">sept </w:t>
            </w:r>
            <w:r>
              <w:rPr>
                <w:sz w:val="18"/>
                <w:lang w:val="fr-CH"/>
              </w:rPr>
              <w:t xml:space="preserve">sources à capter. Concernant la qualité de l’eau, il convient de s’assurer que les zones de protection </w:t>
            </w:r>
            <w:r w:rsidR="00420B5B">
              <w:rPr>
                <w:sz w:val="18"/>
                <w:lang w:val="fr-CH"/>
              </w:rPr>
              <w:t xml:space="preserve">prévues </w:t>
            </w:r>
            <w:r>
              <w:rPr>
                <w:sz w:val="18"/>
                <w:lang w:val="fr-CH"/>
              </w:rPr>
              <w:t>autour des captages soient suffisamment étendues (en fonction de l’utilisation des sols dans les environs)</w:t>
            </w:r>
            <w:r w:rsidR="00420B5B">
              <w:rPr>
                <w:sz w:val="18"/>
                <w:lang w:val="fr-CH"/>
              </w:rPr>
              <w:t xml:space="preserve"> et gérées</w:t>
            </w:r>
            <w:r>
              <w:rPr>
                <w:sz w:val="18"/>
                <w:lang w:val="fr-CH"/>
              </w:rPr>
              <w:t>.</w:t>
            </w:r>
          </w:p>
          <w:p w:rsidR="00633824" w:rsidRPr="001D4600" w:rsidRDefault="001D4600" w:rsidP="00CB29B5">
            <w:pPr>
              <w:numPr>
                <w:ilvl w:val="0"/>
                <w:numId w:val="3"/>
              </w:numPr>
              <w:snapToGrid w:val="0"/>
              <w:spacing w:before="40" w:after="40"/>
              <w:ind w:left="392" w:hanging="283"/>
              <w:rPr>
                <w:sz w:val="18"/>
                <w:lang w:val="fr-CH"/>
              </w:rPr>
            </w:pPr>
            <w:r>
              <w:rPr>
                <w:sz w:val="18"/>
                <w:lang w:val="fr-CH"/>
              </w:rPr>
              <w:t>L</w:t>
            </w:r>
            <w:r w:rsidRPr="001D4600">
              <w:rPr>
                <w:sz w:val="18"/>
                <w:lang w:val="fr-CH"/>
              </w:rPr>
              <w:t xml:space="preserve">a durabilité financière </w:t>
            </w:r>
            <w:r>
              <w:rPr>
                <w:sz w:val="18"/>
                <w:lang w:val="fr-CH"/>
              </w:rPr>
              <w:t xml:space="preserve">à long-terme </w:t>
            </w:r>
            <w:r w:rsidRPr="001D4600">
              <w:rPr>
                <w:sz w:val="18"/>
                <w:lang w:val="fr-CH"/>
              </w:rPr>
              <w:t xml:space="preserve">des systèmes mis en place (réinvestissements </w:t>
            </w:r>
            <w:r w:rsidR="00CB29B5">
              <w:rPr>
                <w:sz w:val="18"/>
                <w:lang w:val="fr-CH"/>
              </w:rPr>
              <w:t>ultérieurs</w:t>
            </w:r>
            <w:r>
              <w:rPr>
                <w:sz w:val="18"/>
                <w:lang w:val="fr-CH"/>
              </w:rPr>
              <w:t>) n’est</w:t>
            </w:r>
            <w:r w:rsidRPr="001D4600">
              <w:rPr>
                <w:sz w:val="18"/>
                <w:lang w:val="fr-CH"/>
              </w:rPr>
              <w:t xml:space="preserve"> pas explicitement adressée</w:t>
            </w:r>
            <w:r>
              <w:rPr>
                <w:sz w:val="18"/>
                <w:lang w:val="fr-CH"/>
              </w:rPr>
              <w:t xml:space="preserve"> (cf. ci-dessus)</w:t>
            </w:r>
            <w:r w:rsidRPr="001D4600">
              <w:rPr>
                <w:sz w:val="18"/>
                <w:lang w:val="fr-CH"/>
              </w:rPr>
              <w:t xml:space="preserve"> et requiert </w:t>
            </w:r>
            <w:r w:rsidR="00CB29B5">
              <w:rPr>
                <w:sz w:val="18"/>
                <w:lang w:val="fr-CH"/>
              </w:rPr>
              <w:t xml:space="preserve">un fonds local / </w:t>
            </w:r>
            <w:r w:rsidR="00420B5B">
              <w:rPr>
                <w:sz w:val="18"/>
                <w:lang w:val="fr-CH"/>
              </w:rPr>
              <w:t>budget au niveau du CDDJ</w:t>
            </w:r>
            <w:r w:rsidRPr="001D4600">
              <w:rPr>
                <w:sz w:val="18"/>
                <w:lang w:val="fr-CH"/>
              </w:rPr>
              <w:t xml:space="preserve"> pour y aboutir.</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pPr>
              <w:snapToGrid w:val="0"/>
              <w:spacing w:before="40" w:after="40"/>
              <w:rPr>
                <w:b/>
                <w:sz w:val="18"/>
                <w:lang w:val="fr-CH"/>
              </w:rPr>
            </w:pPr>
            <w:r w:rsidRPr="00A22EE2">
              <w:rPr>
                <w:b/>
                <w:sz w:val="18"/>
                <w:lang w:val="fr-CH"/>
              </w:rPr>
              <w:t xml:space="preserve">6. Relation </w:t>
            </w:r>
            <w:r w:rsidR="00576201">
              <w:rPr>
                <w:b/>
                <w:sz w:val="18"/>
                <w:lang w:val="fr-CH"/>
              </w:rPr>
              <w:t>entre</w:t>
            </w:r>
            <w:r w:rsidRPr="00A22EE2">
              <w:rPr>
                <w:b/>
                <w:sz w:val="18"/>
                <w:lang w:val="fr-CH"/>
              </w:rPr>
              <w:t xml:space="preserve"> inputs </w:t>
            </w:r>
            <w:r w:rsidR="00576201">
              <w:rPr>
                <w:b/>
                <w:sz w:val="18"/>
                <w:lang w:val="fr-CH"/>
              </w:rPr>
              <w:t xml:space="preserve">(intrants) et </w:t>
            </w:r>
            <w:r w:rsidRPr="00A22EE2">
              <w:rPr>
                <w:b/>
                <w:sz w:val="18"/>
                <w:lang w:val="fr-CH"/>
              </w:rPr>
              <w:t>outputs</w:t>
            </w:r>
          </w:p>
        </w:tc>
      </w:tr>
      <w:tr w:rsidR="00633824" w:rsidRPr="00A22EE2">
        <w:trPr>
          <w:jc w:val="center"/>
        </w:trPr>
        <w:tc>
          <w:tcPr>
            <w:tcW w:w="9498" w:type="dxa"/>
            <w:tcBorders>
              <w:left w:val="single" w:sz="4" w:space="0" w:color="000000"/>
              <w:bottom w:val="single" w:sz="4" w:space="0" w:color="000000"/>
              <w:right w:val="single" w:sz="4" w:space="0" w:color="000000"/>
            </w:tcBorders>
          </w:tcPr>
          <w:p w:rsidR="00633824" w:rsidRPr="00A22EE2" w:rsidRDefault="003B5E59" w:rsidP="006F1AAF">
            <w:pPr>
              <w:snapToGrid w:val="0"/>
              <w:spacing w:before="40" w:after="40"/>
              <w:rPr>
                <w:sz w:val="18"/>
                <w:lang w:val="fr-CH"/>
              </w:rPr>
            </w:pPr>
            <w:r>
              <w:rPr>
                <w:sz w:val="18"/>
                <w:lang w:val="fr-CH"/>
              </w:rPr>
              <w:t xml:space="preserve">Le coût de l’intervention par bénéficiaire est </w:t>
            </w:r>
            <w:r w:rsidR="00903ECB">
              <w:rPr>
                <w:sz w:val="18"/>
                <w:lang w:val="fr-CH"/>
              </w:rPr>
              <w:t xml:space="preserve">budgétise à </w:t>
            </w:r>
            <w:r>
              <w:rPr>
                <w:sz w:val="18"/>
                <w:lang w:val="fr-CH"/>
              </w:rPr>
              <w:t xml:space="preserve">CHF </w:t>
            </w:r>
            <w:r w:rsidR="00EA0411">
              <w:rPr>
                <w:sz w:val="18"/>
                <w:lang w:val="fr-CH"/>
              </w:rPr>
              <w:t>50 -</w:t>
            </w:r>
            <w:r w:rsidR="00903ECB">
              <w:rPr>
                <w:sz w:val="18"/>
                <w:lang w:val="fr-CH"/>
              </w:rPr>
              <w:t xml:space="preserve"> </w:t>
            </w:r>
            <w:r>
              <w:rPr>
                <w:sz w:val="18"/>
                <w:lang w:val="fr-CH"/>
              </w:rPr>
              <w:t xml:space="preserve">adéquat pour </w:t>
            </w:r>
            <w:r w:rsidR="00DB3438">
              <w:rPr>
                <w:sz w:val="18"/>
                <w:lang w:val="fr-CH"/>
              </w:rPr>
              <w:t>le</w:t>
            </w:r>
            <w:r w:rsidR="00903ECB">
              <w:rPr>
                <w:sz w:val="18"/>
                <w:lang w:val="fr-CH"/>
              </w:rPr>
              <w:t xml:space="preserve"> contexte, </w:t>
            </w:r>
            <w:r w:rsidR="00DB3438">
              <w:rPr>
                <w:sz w:val="18"/>
                <w:lang w:val="fr-CH"/>
              </w:rPr>
              <w:t xml:space="preserve">type de système prévu </w:t>
            </w:r>
            <w:r w:rsidR="003219BF">
              <w:rPr>
                <w:sz w:val="18"/>
                <w:lang w:val="fr-CH"/>
              </w:rPr>
              <w:t xml:space="preserve">et </w:t>
            </w:r>
            <w:r>
              <w:rPr>
                <w:sz w:val="18"/>
                <w:lang w:val="fr-CH"/>
              </w:rPr>
              <w:t xml:space="preserve">niveau de service fourni. </w:t>
            </w:r>
            <w:r w:rsidR="00903ECB">
              <w:rPr>
                <w:sz w:val="18"/>
                <w:lang w:val="fr-CH"/>
              </w:rPr>
              <w:t xml:space="preserve">L’expérience dans le projet précédant à Khotang a montré qu’une réduction des coûts </w:t>
            </w:r>
            <w:r w:rsidR="007C4D0E">
              <w:rPr>
                <w:sz w:val="18"/>
                <w:lang w:val="fr-CH"/>
              </w:rPr>
              <w:t>de ~</w:t>
            </w:r>
            <w:r w:rsidR="00903ECB">
              <w:rPr>
                <w:sz w:val="18"/>
                <w:lang w:val="fr-CH"/>
              </w:rPr>
              <w:t>16% par rapport au budget initial était possible suite aux conditions de sol facilitant les fouilles.</w:t>
            </w:r>
            <w:r w:rsidR="003219BF">
              <w:rPr>
                <w:sz w:val="18"/>
                <w:lang w:val="fr-CH"/>
              </w:rPr>
              <w:t xml:space="preserve"> </w:t>
            </w:r>
            <w:r>
              <w:rPr>
                <w:sz w:val="18"/>
                <w:lang w:val="fr-CH"/>
              </w:rPr>
              <w:t>Les coûts de différentes composantes sont réalistes e</w:t>
            </w:r>
            <w:r w:rsidR="00222776">
              <w:rPr>
                <w:sz w:val="18"/>
                <w:lang w:val="fr-CH"/>
              </w:rPr>
              <w:t>t devraient permettre la mise en</w:t>
            </w:r>
            <w:r>
              <w:rPr>
                <w:sz w:val="18"/>
                <w:lang w:val="fr-CH"/>
              </w:rPr>
              <w:t xml:space="preserve"> œuvre de matériel et matériaux de construction de qualit</w:t>
            </w:r>
            <w:r w:rsidR="00222776">
              <w:rPr>
                <w:sz w:val="18"/>
                <w:lang w:val="fr-CH"/>
              </w:rPr>
              <w:t>é adéquate. Les aspects d’IEC/</w:t>
            </w:r>
            <w:r>
              <w:rPr>
                <w:sz w:val="18"/>
                <w:lang w:val="fr-CH"/>
              </w:rPr>
              <w:t>formation et de suivi-contrôle ne prévoient pas de budget et sont donc considérés comme des apports des</w:t>
            </w:r>
            <w:r w:rsidR="00222776">
              <w:rPr>
                <w:sz w:val="18"/>
                <w:lang w:val="fr-CH"/>
              </w:rPr>
              <w:t xml:space="preserve"> structures locales (école, CDDJ</w:t>
            </w:r>
            <w:r>
              <w:rPr>
                <w:sz w:val="18"/>
                <w:lang w:val="fr-CH"/>
              </w:rPr>
              <w:t>).</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pPr>
              <w:snapToGrid w:val="0"/>
              <w:spacing w:before="40" w:after="40"/>
              <w:rPr>
                <w:b/>
                <w:sz w:val="18"/>
                <w:lang w:val="fr-CH"/>
              </w:rPr>
            </w:pPr>
            <w:r w:rsidRPr="00A22EE2">
              <w:rPr>
                <w:b/>
                <w:sz w:val="18"/>
                <w:lang w:val="fr-CH"/>
              </w:rPr>
              <w:t xml:space="preserve">7. </w:t>
            </w:r>
            <w:r w:rsidR="00576201">
              <w:rPr>
                <w:b/>
                <w:sz w:val="18"/>
                <w:lang w:val="fr-CH"/>
              </w:rPr>
              <w:t>Remarques</w:t>
            </w:r>
          </w:p>
        </w:tc>
      </w:tr>
      <w:tr w:rsidR="00633824" w:rsidRPr="00A22EE2">
        <w:trPr>
          <w:jc w:val="center"/>
        </w:trPr>
        <w:tc>
          <w:tcPr>
            <w:tcW w:w="9498" w:type="dxa"/>
            <w:tcBorders>
              <w:left w:val="single" w:sz="4" w:space="0" w:color="000000"/>
              <w:bottom w:val="single" w:sz="4" w:space="0" w:color="000000"/>
              <w:right w:val="single" w:sz="4" w:space="0" w:color="000000"/>
            </w:tcBorders>
          </w:tcPr>
          <w:p w:rsidR="00633824" w:rsidRPr="00A22EE2" w:rsidRDefault="00903ECB" w:rsidP="006F1AAF">
            <w:pPr>
              <w:pStyle w:val="BodyText2"/>
              <w:spacing w:before="40" w:after="40"/>
              <w:rPr>
                <w:sz w:val="18"/>
                <w:lang w:val="fr-CH"/>
              </w:rPr>
            </w:pPr>
            <w:r>
              <w:rPr>
                <w:sz w:val="18"/>
                <w:lang w:val="fr-CH"/>
              </w:rPr>
              <w:t xml:space="preserve">Un </w:t>
            </w:r>
            <w:hyperlink r:id="rId9" w:history="1">
              <w:r w:rsidRPr="006F1AAF">
                <w:rPr>
                  <w:rStyle w:val="Hyperlink"/>
                  <w:sz w:val="18"/>
                  <w:lang w:val="fr-CH"/>
                </w:rPr>
                <w:t>1</w:t>
              </w:r>
              <w:r w:rsidRPr="006F1AAF">
                <w:rPr>
                  <w:rStyle w:val="Hyperlink"/>
                  <w:sz w:val="18"/>
                  <w:vertAlign w:val="superscript"/>
                  <w:lang w:val="fr-CH"/>
                </w:rPr>
                <w:t>er</w:t>
              </w:r>
              <w:r w:rsidRPr="006F1AAF">
                <w:rPr>
                  <w:rStyle w:val="Hyperlink"/>
                  <w:sz w:val="18"/>
                  <w:lang w:val="fr-CH"/>
                </w:rPr>
                <w:t xml:space="preserve"> pr</w:t>
              </w:r>
              <w:r w:rsidRPr="006F1AAF">
                <w:rPr>
                  <w:rStyle w:val="Hyperlink"/>
                  <w:sz w:val="18"/>
                  <w:lang w:val="fr-CH"/>
                </w:rPr>
                <w:t>o</w:t>
              </w:r>
              <w:r w:rsidRPr="006F1AAF">
                <w:rPr>
                  <w:rStyle w:val="Hyperlink"/>
                  <w:sz w:val="18"/>
                  <w:lang w:val="fr-CH"/>
                </w:rPr>
                <w:t>jet</w:t>
              </w:r>
            </w:hyperlink>
            <w:r>
              <w:rPr>
                <w:sz w:val="18"/>
                <w:lang w:val="fr-CH"/>
              </w:rPr>
              <w:t xml:space="preserve"> de l’organisation fiancé via Solidarit’eau </w:t>
            </w:r>
            <w:r w:rsidR="006F1AAF">
              <w:rPr>
                <w:sz w:val="18"/>
                <w:lang w:val="fr-CH"/>
              </w:rPr>
              <w:t xml:space="preserve">et été réalisé </w:t>
            </w:r>
            <w:r>
              <w:rPr>
                <w:sz w:val="18"/>
                <w:lang w:val="fr-CH"/>
              </w:rPr>
              <w:t>avec succès entre mi-2012 et mi-2013.</w:t>
            </w:r>
            <w:r w:rsidR="006F1AAF">
              <w:rPr>
                <w:sz w:val="18"/>
                <w:lang w:val="fr-CH"/>
              </w:rPr>
              <w:t xml:space="preserve"> </w:t>
            </w:r>
            <w:r w:rsidR="0070272F">
              <w:rPr>
                <w:sz w:val="18"/>
                <w:lang w:val="fr-CH"/>
              </w:rPr>
              <w:t xml:space="preserve">Plus d’information sur l’organisation et ses projets antérieurs </w:t>
            </w:r>
            <w:r>
              <w:rPr>
                <w:sz w:val="18"/>
                <w:lang w:val="fr-CH"/>
              </w:rPr>
              <w:t xml:space="preserve">et disponible </w:t>
            </w:r>
            <w:r w:rsidR="0070272F">
              <w:rPr>
                <w:sz w:val="18"/>
                <w:lang w:val="fr-CH"/>
              </w:rPr>
              <w:t xml:space="preserve">sur </w:t>
            </w:r>
            <w:hyperlink r:id="rId10" w:history="1">
              <w:r w:rsidRPr="0089563D">
                <w:rPr>
                  <w:rStyle w:val="Hyperlink"/>
                  <w:sz w:val="18"/>
                  <w:lang w:val="fr-CH"/>
                </w:rPr>
                <w:t>http://singla-nepal.org</w:t>
              </w:r>
            </w:hyperlink>
            <w:r>
              <w:rPr>
                <w:sz w:val="18"/>
                <w:lang w:val="fr-CH"/>
              </w:rPr>
              <w:t xml:space="preserve">. </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576201">
            <w:pPr>
              <w:snapToGrid w:val="0"/>
              <w:spacing w:before="40" w:after="40"/>
              <w:rPr>
                <w:b/>
                <w:sz w:val="18"/>
                <w:lang w:val="fr-CH"/>
              </w:rPr>
            </w:pPr>
            <w:r>
              <w:rPr>
                <w:b/>
                <w:sz w:val="18"/>
                <w:lang w:val="fr-CH"/>
              </w:rPr>
              <w:t>Date et Auteur de la 2</w:t>
            </w:r>
            <w:r w:rsidRPr="00576201">
              <w:rPr>
                <w:b/>
                <w:sz w:val="18"/>
                <w:vertAlign w:val="superscript"/>
                <w:lang w:val="fr-CH"/>
              </w:rPr>
              <w:t>ème</w:t>
            </w:r>
            <w:r>
              <w:rPr>
                <w:b/>
                <w:sz w:val="18"/>
                <w:lang w:val="fr-CH"/>
              </w:rPr>
              <w:t xml:space="preserve"> opinion avec détails de contact</w:t>
            </w:r>
          </w:p>
        </w:tc>
      </w:tr>
      <w:tr w:rsidR="00633824" w:rsidRPr="00A22EE2">
        <w:trPr>
          <w:cantSplit/>
          <w:jc w:val="center"/>
        </w:trPr>
        <w:tc>
          <w:tcPr>
            <w:tcW w:w="9498" w:type="dxa"/>
            <w:tcBorders>
              <w:left w:val="single" w:sz="4" w:space="0" w:color="000000"/>
              <w:bottom w:val="single" w:sz="4" w:space="0" w:color="000000"/>
              <w:right w:val="single" w:sz="4" w:space="0" w:color="000000"/>
            </w:tcBorders>
          </w:tcPr>
          <w:p w:rsidR="00633824" w:rsidRPr="00A22EE2" w:rsidRDefault="00F369FC">
            <w:pPr>
              <w:snapToGrid w:val="0"/>
              <w:spacing w:before="40" w:after="40"/>
              <w:rPr>
                <w:sz w:val="18"/>
                <w:lang w:val="fr-CH"/>
              </w:rPr>
            </w:pPr>
            <w:r>
              <w:rPr>
                <w:sz w:val="18"/>
                <w:lang w:val="fr-CH"/>
              </w:rPr>
              <w:t>06.05.14</w:t>
            </w:r>
            <w:r w:rsidR="001965DD">
              <w:rPr>
                <w:sz w:val="18"/>
                <w:lang w:val="fr-CH"/>
              </w:rPr>
              <w:t xml:space="preserve">, Roger Schmid, Skat Consulting, Vadianstrasse 42, 9000 St. Gallen, 071 228 54 54, </w:t>
            </w:r>
            <w:hyperlink r:id="rId11" w:history="1">
              <w:r w:rsidR="001965DD" w:rsidRPr="00E15974">
                <w:rPr>
                  <w:rStyle w:val="Hyperlink"/>
                  <w:sz w:val="18"/>
                  <w:lang w:val="fr-CH"/>
                </w:rPr>
                <w:t>roger.schmid@skat.ch</w:t>
              </w:r>
            </w:hyperlink>
            <w:r w:rsidR="001965DD">
              <w:rPr>
                <w:sz w:val="18"/>
                <w:lang w:val="fr-CH"/>
              </w:rPr>
              <w:t xml:space="preserve"> </w:t>
            </w:r>
          </w:p>
        </w:tc>
      </w:tr>
    </w:tbl>
    <w:p w:rsidR="00633824" w:rsidRPr="00A22EE2" w:rsidRDefault="00633824">
      <w:pPr>
        <w:pStyle w:val="List"/>
        <w:spacing w:before="120" w:after="40"/>
        <w:jc w:val="right"/>
        <w:rPr>
          <w:sz w:val="2"/>
          <w:lang w:val="fr-CH"/>
        </w:rPr>
      </w:pPr>
    </w:p>
    <w:sectPr w:rsidR="00633824" w:rsidRPr="00A22EE2" w:rsidSect="006F1AAF">
      <w:headerReference w:type="default" r:id="rId12"/>
      <w:footerReference w:type="default" r:id="rId13"/>
      <w:footnotePr>
        <w:pos w:val="beneathText"/>
      </w:footnotePr>
      <w:pgSz w:w="11900" w:h="16837"/>
      <w:pgMar w:top="851" w:right="1134" w:bottom="851" w:left="1134" w:header="709"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BF" w:rsidRDefault="003219BF">
      <w:r>
        <w:separator/>
      </w:r>
    </w:p>
  </w:endnote>
  <w:endnote w:type="continuationSeparator" w:id="0">
    <w:p w:rsidR="003219BF" w:rsidRDefault="003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BF" w:rsidRDefault="003219BF">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BF" w:rsidRDefault="003219BF">
      <w:r>
        <w:separator/>
      </w:r>
    </w:p>
  </w:footnote>
  <w:footnote w:type="continuationSeparator" w:id="0">
    <w:p w:rsidR="003219BF" w:rsidRDefault="003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BF" w:rsidRDefault="003219BF">
    <w:pPr>
      <w:pStyle w:val="Header"/>
      <w:rPr>
        <w:szCs w:val="20"/>
      </w:rPr>
    </w:pPr>
    <w:r>
      <w:rPr>
        <w:noProof/>
        <w:lang w:eastAsia="de-CH"/>
      </w:rPr>
      <w:drawing>
        <wp:anchor distT="0" distB="0" distL="114935" distR="114935" simplePos="0" relativeHeight="251657728" behindDoc="1" locked="0" layoutInCell="1" allowOverlap="1" wp14:anchorId="470C1540" wp14:editId="359823EC">
          <wp:simplePos x="0" y="0"/>
          <wp:positionH relativeFrom="column">
            <wp:posOffset>4817745</wp:posOffset>
          </wp:positionH>
          <wp:positionV relativeFrom="paragraph">
            <wp:posOffset>-104775</wp:posOffset>
          </wp:positionV>
          <wp:extent cx="1713865" cy="2279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1689" b="49986"/>
                  <a:stretch>
                    <a:fillRect/>
                  </a:stretch>
                </pic:blipFill>
                <pic:spPr bwMode="auto">
                  <a:xfrm>
                    <a:off x="0" y="0"/>
                    <a:ext cx="171386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20"/>
        </w:tabs>
      </w:pPr>
      <w:rPr>
        <w:rFonts w:ascii="Arial" w:hAnsi="Arial"/>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29902820"/>
    <w:multiLevelType w:val="hybridMultilevel"/>
    <w:tmpl w:val="0BD8C4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FC"/>
    <w:rsid w:val="00035507"/>
    <w:rsid w:val="001965DD"/>
    <w:rsid w:val="001D4600"/>
    <w:rsid w:val="0020575F"/>
    <w:rsid w:val="00222776"/>
    <w:rsid w:val="00246DB3"/>
    <w:rsid w:val="002B0D40"/>
    <w:rsid w:val="002E7231"/>
    <w:rsid w:val="003219BF"/>
    <w:rsid w:val="003935A7"/>
    <w:rsid w:val="003B5E59"/>
    <w:rsid w:val="004006DB"/>
    <w:rsid w:val="004112CA"/>
    <w:rsid w:val="00420B5B"/>
    <w:rsid w:val="00460B7E"/>
    <w:rsid w:val="00482487"/>
    <w:rsid w:val="004E20E5"/>
    <w:rsid w:val="005701BD"/>
    <w:rsid w:val="005708AE"/>
    <w:rsid w:val="00576201"/>
    <w:rsid w:val="00584FFC"/>
    <w:rsid w:val="005A5715"/>
    <w:rsid w:val="005C5FBE"/>
    <w:rsid w:val="00633824"/>
    <w:rsid w:val="00637270"/>
    <w:rsid w:val="006562A3"/>
    <w:rsid w:val="006F1AAF"/>
    <w:rsid w:val="0070272F"/>
    <w:rsid w:val="00723749"/>
    <w:rsid w:val="0075310F"/>
    <w:rsid w:val="007C4D0E"/>
    <w:rsid w:val="008264B6"/>
    <w:rsid w:val="008C6033"/>
    <w:rsid w:val="008E5208"/>
    <w:rsid w:val="00903ECB"/>
    <w:rsid w:val="00942967"/>
    <w:rsid w:val="0095018A"/>
    <w:rsid w:val="00A22EE2"/>
    <w:rsid w:val="00A70FAC"/>
    <w:rsid w:val="00B270AE"/>
    <w:rsid w:val="00C525C5"/>
    <w:rsid w:val="00CB29B5"/>
    <w:rsid w:val="00CC339B"/>
    <w:rsid w:val="00D11DA0"/>
    <w:rsid w:val="00D31AA8"/>
    <w:rsid w:val="00D52C36"/>
    <w:rsid w:val="00D867F9"/>
    <w:rsid w:val="00DB1D28"/>
    <w:rsid w:val="00DB3438"/>
    <w:rsid w:val="00DF4712"/>
    <w:rsid w:val="00E23CE3"/>
    <w:rsid w:val="00EA0411"/>
    <w:rsid w:val="00F369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snapToGrid w:val="0"/>
      <w:spacing w:before="60" w:after="60"/>
    </w:pPr>
    <w:rPr>
      <w:sz w:val="20"/>
    </w:rPr>
  </w:style>
  <w:style w:type="paragraph" w:styleId="BalloonText">
    <w:name w:val="Balloon Text"/>
    <w:basedOn w:val="Normal"/>
    <w:link w:val="BalloonTextChar"/>
    <w:rsid w:val="0070272F"/>
    <w:pPr>
      <w:spacing w:before="0"/>
    </w:pPr>
    <w:rPr>
      <w:rFonts w:ascii="Tahoma" w:hAnsi="Tahoma" w:cs="Tahoma"/>
      <w:sz w:val="16"/>
      <w:szCs w:val="16"/>
    </w:rPr>
  </w:style>
  <w:style w:type="character" w:customStyle="1" w:styleId="BalloonTextChar">
    <w:name w:val="Balloon Text Char"/>
    <w:basedOn w:val="DefaultParagraphFont"/>
    <w:link w:val="BalloonText"/>
    <w:rsid w:val="0070272F"/>
    <w:rPr>
      <w:rFonts w:ascii="Tahoma" w:hAnsi="Tahoma" w:cs="Tahoma"/>
      <w:sz w:val="16"/>
      <w:szCs w:val="16"/>
      <w:lang w:eastAsia="ar-SA"/>
    </w:rPr>
  </w:style>
  <w:style w:type="character" w:styleId="FollowedHyperlink">
    <w:name w:val="FollowedHyperlink"/>
    <w:basedOn w:val="DefaultParagraphFont"/>
    <w:rsid w:val="00F369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snapToGrid w:val="0"/>
      <w:spacing w:before="60" w:after="60"/>
    </w:pPr>
    <w:rPr>
      <w:sz w:val="20"/>
    </w:rPr>
  </w:style>
  <w:style w:type="paragraph" w:styleId="BalloonText">
    <w:name w:val="Balloon Text"/>
    <w:basedOn w:val="Normal"/>
    <w:link w:val="BalloonTextChar"/>
    <w:rsid w:val="0070272F"/>
    <w:pPr>
      <w:spacing w:before="0"/>
    </w:pPr>
    <w:rPr>
      <w:rFonts w:ascii="Tahoma" w:hAnsi="Tahoma" w:cs="Tahoma"/>
      <w:sz w:val="16"/>
      <w:szCs w:val="16"/>
    </w:rPr>
  </w:style>
  <w:style w:type="character" w:customStyle="1" w:styleId="BalloonTextChar">
    <w:name w:val="Balloon Text Char"/>
    <w:basedOn w:val="DefaultParagraphFont"/>
    <w:link w:val="BalloonText"/>
    <w:rsid w:val="0070272F"/>
    <w:rPr>
      <w:rFonts w:ascii="Tahoma" w:hAnsi="Tahoma" w:cs="Tahoma"/>
      <w:sz w:val="16"/>
      <w:szCs w:val="16"/>
      <w:lang w:eastAsia="ar-SA"/>
    </w:rPr>
  </w:style>
  <w:style w:type="character" w:styleId="FollowedHyperlink">
    <w:name w:val="FollowedHyperlink"/>
    <w:basedOn w:val="DefaultParagraphFont"/>
    <w:rsid w:val="00F36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ger.schmid@skat.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gla-nepal.org" TargetMode="External"/><Relationship Id="rId4" Type="http://schemas.microsoft.com/office/2007/relationships/stylesWithEffects" Target="stylesWithEffects.xml"/><Relationship Id="rId9" Type="http://schemas.openxmlformats.org/officeDocument/2006/relationships/hyperlink" Target="http://www.solidariteausuisse.ch/de/projekte/abgeschlossene-projekte/details.html?tx_nezzoaidproject_pi1%5BbackPid%5D=116&amp;tx_nezzoaidproject_pi1%5BshowUid%5D=27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0" ma:contentTypeDescription="Crée un document." ma:contentTypeScope="" ma:versionID="a8927a38f68f1d81110fe1d063bda312">
  <xsd:schema xmlns:xsd="http://www.w3.org/2001/XMLSchema" xmlns:xs="http://www.w3.org/2001/XMLSchema" xmlns:p="http://schemas.microsoft.com/office/2006/metadata/properties" xmlns:ns2="42a3bd66-1a5b-498d-a95c-db100f66fc54" targetNamespace="http://schemas.microsoft.com/office/2006/metadata/properties" ma:root="true" ma:fieldsID="d442ee634f0dc83c7d596915298fab5d" ns2:_="">
    <xsd:import namespace="42a3bd66-1a5b-498d-a95c-db100f66f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631BE-A7DF-4783-8446-BEC9460AC9E7}">
  <ds:schemaRefs>
    <ds:schemaRef ds:uri="http://schemas.openxmlformats.org/officeDocument/2006/bibliography"/>
  </ds:schemaRefs>
</ds:datastoreItem>
</file>

<file path=customXml/itemProps2.xml><?xml version="1.0" encoding="utf-8"?>
<ds:datastoreItem xmlns:ds="http://schemas.openxmlformats.org/officeDocument/2006/customXml" ds:itemID="{4686666C-B116-4F24-8401-67A2119EED85}"/>
</file>

<file path=customXml/itemProps3.xml><?xml version="1.0" encoding="utf-8"?>
<ds:datastoreItem xmlns:ds="http://schemas.openxmlformats.org/officeDocument/2006/customXml" ds:itemID="{B2AF7318-F333-4F55-B238-B592C48F3338}"/>
</file>

<file path=customXml/itemProps4.xml><?xml version="1.0" encoding="utf-8"?>
<ds:datastoreItem xmlns:ds="http://schemas.openxmlformats.org/officeDocument/2006/customXml" ds:itemID="{38796741-D33C-491C-9D54-899072BEFD75}"/>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Solidarit’Eau Suisse Aguasan 2nd opinion</vt:lpstr>
    </vt:vector>
  </TitlesOfParts>
  <Company>HP</Company>
  <LinksUpToDate>false</LinksUpToDate>
  <CharactersWithSpaces>6173</CharactersWithSpaces>
  <SharedDoc>false</SharedDoc>
  <HLinks>
    <vt:vector size="12" baseType="variant">
      <vt:variant>
        <vt:i4>4915256</vt:i4>
      </vt:variant>
      <vt:variant>
        <vt:i4>3</vt:i4>
      </vt:variant>
      <vt:variant>
        <vt:i4>0</vt:i4>
      </vt:variant>
      <vt:variant>
        <vt:i4>5</vt:i4>
      </vt:variant>
      <vt:variant>
        <vt:lpwstr>mailto:roger.schmid@skat.ch</vt:lpwstr>
      </vt:variant>
      <vt:variant>
        <vt:lpwstr/>
      </vt:variant>
      <vt:variant>
        <vt:i4>3473454</vt:i4>
      </vt:variant>
      <vt:variant>
        <vt:i4>0</vt:i4>
      </vt:variant>
      <vt:variant>
        <vt:i4>0</vt:i4>
      </vt:variant>
      <vt:variant>
        <vt:i4>5</vt:i4>
      </vt:variant>
      <vt:variant>
        <vt:lpwstr>http://www.singla-nepal.ch/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Solidarit’Eau Suisse Aguasan 2nd opinion</dc:title>
  <dc:creator>Roger Schmid</dc:creator>
  <cp:lastModifiedBy>Roger Schmid</cp:lastModifiedBy>
  <cp:revision>12</cp:revision>
  <cp:lastPrinted>2012-03-26T07:09:00Z</cp:lastPrinted>
  <dcterms:created xsi:type="dcterms:W3CDTF">2014-05-07T06:15:00Z</dcterms:created>
  <dcterms:modified xsi:type="dcterms:W3CDTF">2014-05-07T07:50:00Z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ies>
</file>