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753" w:rsidRPr="006354D1" w:rsidRDefault="009B3753">
      <w:pPr>
        <w:rPr>
          <w:b/>
          <w:sz w:val="28"/>
        </w:rPr>
      </w:pPr>
      <w:r w:rsidRPr="006354D1">
        <w:rPr>
          <w:sz w:val="20"/>
          <w:lang w:eastAsia="de-DE"/>
        </w:rPr>
        <w:pict>
          <v:rect id="_x0000_s1026" style="position:absolute;margin-left:3.1pt;margin-top:9.25pt;width:471.75pt;height:25.05pt;z-index:251657728">
            <v:textbox>
              <w:txbxContent>
                <w:p w:rsidR="009B3753" w:rsidRPr="00C4490E" w:rsidRDefault="00C4490E" w:rsidP="00C4490E">
                  <w:pPr>
                    <w:spacing w:before="0"/>
                    <w:rPr>
                      <w:b/>
                      <w:bCs/>
                    </w:rPr>
                  </w:pPr>
                  <w:r w:rsidRPr="00C4490E">
                    <w:rPr>
                      <w:b/>
                      <w:bCs/>
                    </w:rPr>
                    <w:t>Schweizerische Rotes Kreuz</w:t>
                  </w:r>
                  <w:r>
                    <w:rPr>
                      <w:b/>
                      <w:bCs/>
                    </w:rPr>
                    <w:t xml:space="preserve"> - </w:t>
                  </w:r>
                  <w:r w:rsidRPr="00C4490E">
                    <w:rPr>
                      <w:b/>
                      <w:bCs/>
                    </w:rPr>
                    <w:t>Sauberes Trinkwasser und verbesserte Hygiene, Nepal</w:t>
                  </w:r>
                </w:p>
              </w:txbxContent>
            </v:textbox>
          </v:rect>
        </w:pict>
      </w:r>
    </w:p>
    <w:p w:rsidR="009B3753" w:rsidRPr="006354D1" w:rsidRDefault="009B3753">
      <w:pPr>
        <w:rPr>
          <w:b/>
          <w:sz w:val="16"/>
        </w:rPr>
      </w:pPr>
    </w:p>
    <w:p w:rsidR="009B3753" w:rsidRPr="006354D1" w:rsidRDefault="006354D1">
      <w:pPr>
        <w:spacing w:before="0" w:after="120"/>
        <w:rPr>
          <w:b/>
          <w:sz w:val="24"/>
        </w:rPr>
      </w:pPr>
      <w:r w:rsidRPr="006354D1">
        <w:rPr>
          <w:b/>
          <w:sz w:val="24"/>
        </w:rPr>
        <w:t>Zweitmeinung</w:t>
      </w:r>
      <w:r w:rsidR="009B3753" w:rsidRPr="006354D1">
        <w:rPr>
          <w:b/>
          <w:sz w:val="24"/>
        </w:rPr>
        <w:t xml:space="preserve"> </w:t>
      </w:r>
      <w:r w:rsidR="001D67FF">
        <w:rPr>
          <w:b/>
          <w:sz w:val="24"/>
        </w:rPr>
        <w:t>AGUASAN</w:t>
      </w:r>
      <w:r w:rsidR="009B3753" w:rsidRPr="006354D1">
        <w:rPr>
          <w:b/>
          <w:sz w:val="24"/>
        </w:rPr>
        <w:t xml:space="preserve"> </w:t>
      </w:r>
      <w:r w:rsidR="009B3753" w:rsidRPr="006354D1">
        <w:rPr>
          <w:bCs/>
          <w:sz w:val="24"/>
        </w:rPr>
        <w:t xml:space="preserve">(max. 1 </w:t>
      </w:r>
      <w:r w:rsidRPr="006354D1">
        <w:rPr>
          <w:bCs/>
          <w:sz w:val="24"/>
        </w:rPr>
        <w:t>Seite</w:t>
      </w:r>
      <w:r w:rsidR="009B3753" w:rsidRPr="006354D1">
        <w:rPr>
          <w:bCs/>
          <w:sz w:val="24"/>
        </w:rPr>
        <w:t>):</w:t>
      </w:r>
    </w:p>
    <w:tbl>
      <w:tblPr>
        <w:tblW w:w="0" w:type="auto"/>
        <w:jc w:val="center"/>
        <w:tblInd w:w="-5" w:type="dxa"/>
        <w:tblLayout w:type="fixed"/>
        <w:tblLook w:val="0000"/>
      </w:tblPr>
      <w:tblGrid>
        <w:gridCol w:w="9498"/>
      </w:tblGrid>
      <w:tr w:rsidR="009B3753" w:rsidRPr="006354D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9B3753" w:rsidRPr="006354D1" w:rsidRDefault="006354D1">
            <w:pPr>
              <w:snapToGrid w:val="0"/>
              <w:spacing w:before="40" w:after="40"/>
              <w:rPr>
                <w:b/>
                <w:sz w:val="18"/>
              </w:rPr>
            </w:pPr>
            <w:r w:rsidRPr="006354D1">
              <w:rPr>
                <w:b/>
                <w:sz w:val="18"/>
              </w:rPr>
              <w:t>Empfehlung</w:t>
            </w:r>
            <w:r w:rsidR="009B3753" w:rsidRPr="006354D1">
              <w:rPr>
                <w:b/>
                <w:sz w:val="18"/>
              </w:rPr>
              <w:t xml:space="preserve"> (</w:t>
            </w:r>
            <w:r w:rsidRPr="006354D1">
              <w:rPr>
                <w:b/>
                <w:sz w:val="18"/>
              </w:rPr>
              <w:t>Schlußfolgerung der Beurteilung</w:t>
            </w:r>
            <w:r w:rsidR="009B3753" w:rsidRPr="006354D1">
              <w:rPr>
                <w:b/>
                <w:sz w:val="18"/>
              </w:rPr>
              <w:t>)</w:t>
            </w:r>
          </w:p>
        </w:tc>
      </w:tr>
      <w:tr w:rsidR="009B3753" w:rsidRPr="006354D1">
        <w:trPr>
          <w:trHeight w:val="64"/>
          <w:jc w:val="center"/>
        </w:trPr>
        <w:tc>
          <w:tcPr>
            <w:tcW w:w="9498" w:type="dxa"/>
            <w:tcBorders>
              <w:left w:val="single" w:sz="4" w:space="0" w:color="000000"/>
              <w:bottom w:val="single" w:sz="4" w:space="0" w:color="000000"/>
              <w:right w:val="single" w:sz="4" w:space="0" w:color="000000"/>
            </w:tcBorders>
          </w:tcPr>
          <w:p w:rsidR="009B3753" w:rsidRPr="006354D1" w:rsidRDefault="00C4490E">
            <w:pPr>
              <w:snapToGrid w:val="0"/>
              <w:spacing w:before="40" w:after="40"/>
              <w:rPr>
                <w:sz w:val="18"/>
              </w:rPr>
            </w:pPr>
            <w:r w:rsidRPr="00C4490E">
              <w:rPr>
                <w:sz w:val="20"/>
              </w:rPr>
              <w:t>Der Projektvorschlag ist kohärent und deckt die geforderten Aspekte vorteilhaft ab. Der Vorschlag baut auf Bewährtes auf und will diese Erfahrungen für weitere Projekte nutzen. Das Projekt kann zur Finanzierung und Durchführung bestens empfohlen werden.</w:t>
            </w:r>
          </w:p>
        </w:tc>
      </w:tr>
      <w:tr w:rsidR="009B3753" w:rsidRPr="006354D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9B3753" w:rsidRPr="006354D1" w:rsidRDefault="00A22EE2">
            <w:pPr>
              <w:snapToGrid w:val="0"/>
              <w:spacing w:before="40" w:after="40"/>
              <w:rPr>
                <w:b/>
                <w:sz w:val="18"/>
              </w:rPr>
            </w:pPr>
            <w:r w:rsidRPr="006354D1">
              <w:rPr>
                <w:b/>
                <w:sz w:val="18"/>
              </w:rPr>
              <w:t xml:space="preserve">1. </w:t>
            </w:r>
            <w:r w:rsidR="006354D1">
              <w:rPr>
                <w:b/>
                <w:sz w:val="18"/>
              </w:rPr>
              <w:t>Relevanz</w:t>
            </w:r>
            <w:r w:rsidRPr="006354D1">
              <w:rPr>
                <w:b/>
                <w:sz w:val="18"/>
              </w:rPr>
              <w:t xml:space="preserve"> (</w:t>
            </w:r>
            <w:r w:rsidR="007E19FC">
              <w:rPr>
                <w:b/>
                <w:sz w:val="18"/>
              </w:rPr>
              <w:t>Zweckmäßigkeit</w:t>
            </w:r>
            <w:r w:rsidRPr="006354D1">
              <w:rPr>
                <w:b/>
                <w:sz w:val="18"/>
              </w:rPr>
              <w:t>)</w:t>
            </w:r>
            <w:r w:rsidR="009B3753" w:rsidRPr="006354D1">
              <w:rPr>
                <w:b/>
                <w:sz w:val="18"/>
              </w:rPr>
              <w:t xml:space="preserve"> </w:t>
            </w:r>
            <w:r w:rsidR="006354D1">
              <w:rPr>
                <w:b/>
                <w:sz w:val="18"/>
              </w:rPr>
              <w:t>des Projekts</w:t>
            </w:r>
          </w:p>
        </w:tc>
      </w:tr>
      <w:tr w:rsidR="009B3753" w:rsidRPr="006354D1">
        <w:trPr>
          <w:trHeight w:val="64"/>
          <w:jc w:val="center"/>
        </w:trPr>
        <w:tc>
          <w:tcPr>
            <w:tcW w:w="9498" w:type="dxa"/>
            <w:tcBorders>
              <w:left w:val="single" w:sz="4" w:space="0" w:color="000000"/>
              <w:bottom w:val="single" w:sz="4" w:space="0" w:color="000000"/>
              <w:right w:val="single" w:sz="4" w:space="0" w:color="000000"/>
            </w:tcBorders>
          </w:tcPr>
          <w:p w:rsidR="009B3753" w:rsidRPr="006354D1" w:rsidRDefault="00C4490E">
            <w:pPr>
              <w:snapToGrid w:val="0"/>
              <w:spacing w:before="40" w:after="40"/>
              <w:rPr>
                <w:sz w:val="18"/>
              </w:rPr>
            </w:pPr>
            <w:r w:rsidRPr="00C4490E">
              <w:rPr>
                <w:sz w:val="20"/>
              </w:rPr>
              <w:t>Das vorgeschlagene Projekt hat einen klaren Armutsbezug (die Region mittlerer Westen ist die ärmste der 5 Regionen Nepals), verbessert die Lebensbedingung für ca. 200‘000 Menschen, fördert den Bau von 33 Wassersystemen (rund 7‘000 Nutzniesser) und 20‘000 Latrinen (rund 100‘000 Nutzniesser). Das Potential eines verbesserten Gesundheits- und sozialwirtschaftlichen Status der Bevölkerung ist groß (Zeit- und Kosteneinsparungen, Steigerung der Produktivität, des Einkommens, des Wohlbefindens, der Sicherheit, der Ein- und Weiterschulung, etc.).</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rsidP="00A22EE2">
            <w:pPr>
              <w:tabs>
                <w:tab w:val="left" w:pos="2393"/>
              </w:tabs>
              <w:snapToGrid w:val="0"/>
              <w:spacing w:before="40" w:after="40"/>
              <w:rPr>
                <w:b/>
                <w:sz w:val="18"/>
              </w:rPr>
            </w:pPr>
            <w:r w:rsidRPr="006354D1">
              <w:rPr>
                <w:b/>
                <w:sz w:val="18"/>
              </w:rPr>
              <w:t xml:space="preserve">2. </w:t>
            </w:r>
            <w:r w:rsidR="006354D1">
              <w:rPr>
                <w:b/>
                <w:sz w:val="18"/>
              </w:rPr>
              <w:t>Sind die Ziele</w:t>
            </w:r>
            <w:r w:rsidR="00A22EE2" w:rsidRPr="006354D1">
              <w:rPr>
                <w:b/>
                <w:sz w:val="18"/>
              </w:rPr>
              <w:t xml:space="preserve"> (</w:t>
            </w:r>
            <w:r w:rsidR="006354D1">
              <w:rPr>
                <w:b/>
                <w:sz w:val="18"/>
              </w:rPr>
              <w:t>und Indikatoren)</w:t>
            </w:r>
            <w:r w:rsidR="00A22EE2" w:rsidRPr="006354D1">
              <w:rPr>
                <w:b/>
                <w:sz w:val="18"/>
              </w:rPr>
              <w:t xml:space="preserve"> SMART? </w:t>
            </w:r>
            <w:r w:rsidR="00A22EE2" w:rsidRPr="006354D1">
              <w:rPr>
                <w:sz w:val="16"/>
                <w:szCs w:val="16"/>
              </w:rPr>
              <w:t>(</w:t>
            </w:r>
            <w:r w:rsidR="00A22EE2" w:rsidRPr="006354D1">
              <w:rPr>
                <w:sz w:val="16"/>
                <w:szCs w:val="16"/>
                <w:u w:val="single"/>
              </w:rPr>
              <w:t>S</w:t>
            </w:r>
            <w:r w:rsidR="006354D1">
              <w:rPr>
                <w:sz w:val="16"/>
                <w:szCs w:val="16"/>
              </w:rPr>
              <w:t>pezifisch</w:t>
            </w:r>
            <w:r w:rsidR="00A22EE2" w:rsidRPr="006354D1">
              <w:rPr>
                <w:sz w:val="16"/>
                <w:szCs w:val="16"/>
              </w:rPr>
              <w:t xml:space="preserve">, </w:t>
            </w:r>
            <w:r w:rsidR="006354D1" w:rsidRPr="006354D1">
              <w:rPr>
                <w:sz w:val="16"/>
                <w:szCs w:val="16"/>
                <w:u w:val="single"/>
              </w:rPr>
              <w:t>M</w:t>
            </w:r>
            <w:r w:rsidR="006354D1">
              <w:rPr>
                <w:sz w:val="16"/>
                <w:szCs w:val="16"/>
              </w:rPr>
              <w:t>eßbar</w:t>
            </w:r>
            <w:r w:rsidR="00A22EE2" w:rsidRPr="006354D1">
              <w:rPr>
                <w:sz w:val="16"/>
                <w:szCs w:val="16"/>
              </w:rPr>
              <w:t xml:space="preserve">, </w:t>
            </w:r>
            <w:r w:rsidR="00A22EE2" w:rsidRPr="006354D1">
              <w:rPr>
                <w:sz w:val="16"/>
                <w:szCs w:val="16"/>
                <w:u w:val="single"/>
              </w:rPr>
              <w:t>A</w:t>
            </w:r>
            <w:r w:rsidR="006354D1">
              <w:rPr>
                <w:sz w:val="16"/>
                <w:szCs w:val="16"/>
              </w:rPr>
              <w:t>ngemessen</w:t>
            </w:r>
            <w:r w:rsidR="00A22EE2" w:rsidRPr="006354D1">
              <w:rPr>
                <w:sz w:val="16"/>
                <w:szCs w:val="16"/>
              </w:rPr>
              <w:t xml:space="preserve">, </w:t>
            </w:r>
            <w:r w:rsidR="00A22EE2" w:rsidRPr="006354D1">
              <w:rPr>
                <w:sz w:val="16"/>
                <w:szCs w:val="16"/>
                <w:u w:val="single"/>
              </w:rPr>
              <w:t>R</w:t>
            </w:r>
            <w:r w:rsidR="006354D1">
              <w:rPr>
                <w:sz w:val="16"/>
                <w:szCs w:val="16"/>
              </w:rPr>
              <w:t>elevant</w:t>
            </w:r>
            <w:r w:rsidR="00A22EE2" w:rsidRPr="006354D1">
              <w:rPr>
                <w:sz w:val="16"/>
                <w:szCs w:val="16"/>
              </w:rPr>
              <w:t xml:space="preserve">, </w:t>
            </w:r>
            <w:r w:rsidR="00A22EE2" w:rsidRPr="006354D1">
              <w:rPr>
                <w:sz w:val="16"/>
                <w:szCs w:val="16"/>
                <w:u w:val="single"/>
              </w:rPr>
              <w:t>T</w:t>
            </w:r>
            <w:r w:rsidR="006354D1">
              <w:rPr>
                <w:sz w:val="16"/>
                <w:szCs w:val="16"/>
              </w:rPr>
              <w:t>erminiert</w:t>
            </w:r>
            <w:r w:rsidR="00A22EE2" w:rsidRPr="006354D1">
              <w:rPr>
                <w:sz w:val="16"/>
                <w:szCs w:val="16"/>
              </w:rPr>
              <w:t>)</w:t>
            </w:r>
          </w:p>
        </w:tc>
      </w:tr>
      <w:tr w:rsidR="009B3753" w:rsidRPr="006354D1">
        <w:trPr>
          <w:trHeight w:val="64"/>
          <w:jc w:val="center"/>
        </w:trPr>
        <w:tc>
          <w:tcPr>
            <w:tcW w:w="9498" w:type="dxa"/>
            <w:tcBorders>
              <w:left w:val="single" w:sz="4" w:space="0" w:color="000000"/>
              <w:bottom w:val="single" w:sz="4" w:space="0" w:color="000000"/>
              <w:right w:val="single" w:sz="4" w:space="0" w:color="000000"/>
            </w:tcBorders>
          </w:tcPr>
          <w:p w:rsidR="009B3753" w:rsidRPr="00C4490E" w:rsidRDefault="00C4490E" w:rsidP="00C4490E">
            <w:pPr>
              <w:spacing w:before="40" w:after="40"/>
              <w:rPr>
                <w:sz w:val="20"/>
              </w:rPr>
            </w:pPr>
            <w:r w:rsidRPr="00C4490E">
              <w:rPr>
                <w:sz w:val="20"/>
              </w:rPr>
              <w:t>Die Projektziele sind realistisch, erreichbar und messbar. Das Volumen der Aktivitäten ist umfangreich, kann aber dank der Zusammenarbeit mit langjährigen lokalen Partnern gesichert werden.</w:t>
            </w:r>
          </w:p>
        </w:tc>
      </w:tr>
      <w:tr w:rsidR="009B3753" w:rsidRPr="006354D1">
        <w:trPr>
          <w:jc w:val="center"/>
        </w:trPr>
        <w:tc>
          <w:tcPr>
            <w:tcW w:w="9498" w:type="dxa"/>
            <w:tcBorders>
              <w:top w:val="single" w:sz="4" w:space="0" w:color="000000"/>
              <w:left w:val="single" w:sz="4" w:space="0" w:color="000000"/>
              <w:bottom w:val="single" w:sz="4" w:space="0" w:color="000000"/>
              <w:right w:val="single" w:sz="4" w:space="0" w:color="000000"/>
            </w:tcBorders>
            <w:shd w:val="clear" w:color="auto" w:fill="F3F3F3"/>
          </w:tcPr>
          <w:p w:rsidR="009B3753" w:rsidRPr="006354D1" w:rsidRDefault="009B3753">
            <w:pPr>
              <w:tabs>
                <w:tab w:val="left" w:pos="2592"/>
              </w:tabs>
              <w:snapToGrid w:val="0"/>
              <w:spacing w:before="40" w:after="40"/>
              <w:rPr>
                <w:b/>
                <w:sz w:val="18"/>
              </w:rPr>
            </w:pPr>
            <w:r w:rsidRPr="006354D1">
              <w:rPr>
                <w:b/>
                <w:sz w:val="18"/>
              </w:rPr>
              <w:t xml:space="preserve">3. </w:t>
            </w:r>
            <w:r w:rsidR="006354D1">
              <w:rPr>
                <w:b/>
                <w:sz w:val="18"/>
              </w:rPr>
              <w:t>Vorgeschlagene Ansätze</w:t>
            </w:r>
            <w:r w:rsidR="007E19FC">
              <w:rPr>
                <w:b/>
                <w:sz w:val="18"/>
              </w:rPr>
              <w:t xml:space="preserve"> (Umsetzung)</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C4490E" w:rsidRPr="00C4490E" w:rsidRDefault="00C4490E" w:rsidP="00C4490E">
            <w:pPr>
              <w:snapToGrid w:val="0"/>
              <w:spacing w:before="40" w:after="40"/>
              <w:rPr>
                <w:sz w:val="20"/>
              </w:rPr>
            </w:pPr>
            <w:r w:rsidRPr="00C4490E">
              <w:rPr>
                <w:sz w:val="20"/>
              </w:rPr>
              <w:t>Der Projektansatz berücksichtig ganzheitlich die technologischen (Wasserressource, Bauweisen, Qualität), sozialen (Gender, soziale Gleichheit, Partizipation), institutionellen (Subsidiarität, Transparenz, Vernetzung mit höheren administrativen Ebenen) und ökologischen Aspekte (sparsame Wassernutzung, Schutz der Ressource vor Verschmutzung).</w:t>
            </w:r>
          </w:p>
          <w:p w:rsidR="00C4490E" w:rsidRPr="00C4490E" w:rsidRDefault="00C4490E" w:rsidP="00C4490E">
            <w:pPr>
              <w:snapToGrid w:val="0"/>
              <w:spacing w:before="40" w:after="40"/>
              <w:rPr>
                <w:sz w:val="20"/>
              </w:rPr>
            </w:pPr>
            <w:r w:rsidRPr="00C4490E">
              <w:rPr>
                <w:sz w:val="20"/>
              </w:rPr>
              <w:t>Die Nutzung des schon bestehenden Wissens, Mechanismen und Strukturen aus ähnlichen Projekten sind dank den bekannten Partnern, Betriebsorganisationen und Ministerien gewährleistet. Als lokaler Partner zeichnet das Nepalesische Rote Kreuz, mit welchem das Schweizerische Rote Kreuz seit über 20 Jahre zusammenarbeitet.</w:t>
            </w:r>
          </w:p>
          <w:p w:rsidR="009B3753" w:rsidRPr="006354D1" w:rsidRDefault="00C4490E" w:rsidP="00C4490E">
            <w:pPr>
              <w:snapToGrid w:val="0"/>
              <w:spacing w:before="40" w:after="40"/>
              <w:rPr>
                <w:sz w:val="18"/>
              </w:rPr>
            </w:pPr>
            <w:r w:rsidRPr="00C4490E">
              <w:rPr>
                <w:sz w:val="20"/>
              </w:rPr>
              <w:t xml:space="preserve">Die Planung, Realisation und Betrieb der Wasserversorgung erfolgt mit lokalen Unternehmen, welche das technische </w:t>
            </w:r>
            <w:proofErr w:type="spellStart"/>
            <w:r w:rsidRPr="00C4490E">
              <w:rPr>
                <w:sz w:val="20"/>
              </w:rPr>
              <w:t>Know</w:t>
            </w:r>
            <w:proofErr w:type="spellEnd"/>
            <w:r w:rsidRPr="00C4490E">
              <w:rPr>
                <w:sz w:val="20"/>
              </w:rPr>
              <w:t>-</w:t>
            </w:r>
            <w:proofErr w:type="spellStart"/>
            <w:r w:rsidRPr="00C4490E">
              <w:rPr>
                <w:sz w:val="20"/>
              </w:rPr>
              <w:t>How</w:t>
            </w:r>
            <w:proofErr w:type="spellEnd"/>
            <w:r w:rsidRPr="00C4490E">
              <w:rPr>
                <w:sz w:val="20"/>
              </w:rPr>
              <w:t xml:space="preserve"> und die Management-Fähigkeit einbringen und so die Nachhaltigkeit des Projektes gewährleisten.</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4. </w:t>
            </w:r>
            <w:r w:rsidR="006354D1">
              <w:rPr>
                <w:b/>
                <w:sz w:val="18"/>
              </w:rPr>
              <w:t xml:space="preserve">Erwartete </w:t>
            </w:r>
            <w:r w:rsidR="007E19FC">
              <w:rPr>
                <w:b/>
                <w:sz w:val="18"/>
              </w:rPr>
              <w:t>Ergebnisse</w:t>
            </w:r>
            <w:r w:rsidR="006354D1">
              <w:rPr>
                <w:b/>
                <w:sz w:val="18"/>
              </w:rPr>
              <w:t xml:space="preserve"> und ihre </w:t>
            </w:r>
            <w:r w:rsidR="007E19FC">
              <w:rPr>
                <w:b/>
                <w:sz w:val="18"/>
              </w:rPr>
              <w:t>voraussichtliche</w:t>
            </w:r>
            <w:r w:rsidR="006354D1">
              <w:rPr>
                <w:b/>
                <w:sz w:val="18"/>
              </w:rPr>
              <w:t xml:space="preserve"> Nachhaltigkeit</w:t>
            </w:r>
          </w:p>
        </w:tc>
      </w:tr>
      <w:tr w:rsidR="009B3753" w:rsidRPr="00C4490E">
        <w:trPr>
          <w:jc w:val="center"/>
        </w:trPr>
        <w:tc>
          <w:tcPr>
            <w:tcW w:w="9498" w:type="dxa"/>
            <w:tcBorders>
              <w:left w:val="single" w:sz="4" w:space="0" w:color="000000"/>
              <w:bottom w:val="single" w:sz="4" w:space="0" w:color="000000"/>
              <w:right w:val="single" w:sz="4" w:space="0" w:color="000000"/>
            </w:tcBorders>
          </w:tcPr>
          <w:p w:rsidR="00C4490E" w:rsidRPr="00C4490E" w:rsidRDefault="00C4490E" w:rsidP="00C4490E">
            <w:pPr>
              <w:snapToGrid w:val="0"/>
              <w:spacing w:before="40" w:after="40"/>
              <w:rPr>
                <w:sz w:val="20"/>
              </w:rPr>
            </w:pPr>
            <w:r w:rsidRPr="00C4490E">
              <w:rPr>
                <w:sz w:val="20"/>
              </w:rPr>
              <w:t xml:space="preserve">Mit Quellwasser gespeiste Gravitäts-Wasserversorgungen werden für 20 Dörfer neu gebaut. 13 weitere bestehende Gravitäts-Wasserversorgungen werden repariert. Zusätzlich werden 130 Regenwasserauffangstank erstellt. Das Wasser wird mit </w:t>
            </w:r>
            <w:proofErr w:type="spellStart"/>
            <w:r w:rsidRPr="00C4490E">
              <w:rPr>
                <w:sz w:val="20"/>
              </w:rPr>
              <w:t>Verteilleitungen</w:t>
            </w:r>
            <w:proofErr w:type="spellEnd"/>
            <w:r w:rsidRPr="00C4490E">
              <w:rPr>
                <w:sz w:val="20"/>
              </w:rPr>
              <w:t xml:space="preserve"> an mehrere Wasserzapfstellen (1 für bis zu 15 Häuser) geleitet.</w:t>
            </w:r>
          </w:p>
          <w:p w:rsidR="00C4490E" w:rsidRPr="00C4490E" w:rsidRDefault="00C4490E" w:rsidP="00C4490E">
            <w:pPr>
              <w:snapToGrid w:val="0"/>
              <w:spacing w:before="40" w:after="40"/>
              <w:rPr>
                <w:sz w:val="20"/>
              </w:rPr>
            </w:pPr>
            <w:r w:rsidRPr="00C4490E">
              <w:rPr>
                <w:sz w:val="20"/>
              </w:rPr>
              <w:t>Das Projekt unterstützt den Bau von mehr als 20‘000 sanitären Toiletten und weiteren einfachen Latrinen. Alle Haushalte werden angeleitet, selbst sanitäre Toiletten aus lokal erhältlichem Material zu bauen und diese regelmässig zu warten</w:t>
            </w:r>
          </w:p>
          <w:p w:rsidR="009B3753" w:rsidRPr="00C4490E" w:rsidRDefault="00C4490E" w:rsidP="00C4490E">
            <w:pPr>
              <w:snapToGrid w:val="0"/>
              <w:spacing w:before="40" w:after="40"/>
              <w:rPr>
                <w:sz w:val="20"/>
              </w:rPr>
            </w:pPr>
            <w:r w:rsidRPr="00C4490E">
              <w:rPr>
                <w:sz w:val="20"/>
              </w:rPr>
              <w:t>Das Projekt baut auf Erfahrungen im Land und auf bewährte Zusammenarbeit und Unternehmer.</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5. </w:t>
            </w:r>
            <w:r w:rsidR="006354D1">
              <w:rPr>
                <w:b/>
                <w:sz w:val="18"/>
              </w:rPr>
              <w:t>Risiken</w:t>
            </w:r>
            <w:r w:rsidR="00D52C36" w:rsidRPr="006354D1">
              <w:rPr>
                <w:b/>
                <w:sz w:val="18"/>
              </w:rPr>
              <w:t xml:space="preserve"> </w:t>
            </w:r>
            <w:r w:rsidR="006354D1">
              <w:rPr>
                <w:b/>
                <w:sz w:val="18"/>
              </w:rPr>
              <w:t>und ihre Milderung</w:t>
            </w:r>
          </w:p>
        </w:tc>
      </w:tr>
      <w:tr w:rsidR="009B3753" w:rsidRPr="00C4490E">
        <w:trPr>
          <w:jc w:val="center"/>
        </w:trPr>
        <w:tc>
          <w:tcPr>
            <w:tcW w:w="9498" w:type="dxa"/>
            <w:tcBorders>
              <w:left w:val="single" w:sz="4" w:space="0" w:color="000000"/>
              <w:bottom w:val="single" w:sz="4" w:space="0" w:color="000000"/>
              <w:right w:val="single" w:sz="4" w:space="0" w:color="000000"/>
            </w:tcBorders>
          </w:tcPr>
          <w:p w:rsidR="009B3753" w:rsidRPr="00C4490E" w:rsidRDefault="00C4490E" w:rsidP="00C4490E">
            <w:pPr>
              <w:snapToGrid w:val="0"/>
              <w:spacing w:before="40" w:after="40"/>
              <w:rPr>
                <w:sz w:val="20"/>
              </w:rPr>
            </w:pPr>
            <w:r w:rsidRPr="00C4490E">
              <w:rPr>
                <w:sz w:val="20"/>
              </w:rPr>
              <w:t>Risiken bestehen keine. In einer Dorfversammlung wird ein Mann oder eine Frau als Verantwortliche für den Betrieb und den Unterhalt der Wassersysteme (</w:t>
            </w:r>
            <w:proofErr w:type="spellStart"/>
            <w:r w:rsidRPr="00C4490E">
              <w:rPr>
                <w:sz w:val="20"/>
              </w:rPr>
              <w:t>Water</w:t>
            </w:r>
            <w:proofErr w:type="spellEnd"/>
            <w:r w:rsidRPr="00C4490E">
              <w:rPr>
                <w:sz w:val="20"/>
              </w:rPr>
              <w:t xml:space="preserve"> </w:t>
            </w:r>
            <w:proofErr w:type="spellStart"/>
            <w:r w:rsidRPr="00C4490E">
              <w:rPr>
                <w:sz w:val="20"/>
              </w:rPr>
              <w:t>Caretaker</w:t>
            </w:r>
            <w:proofErr w:type="spellEnd"/>
            <w:r w:rsidRPr="00C4490E">
              <w:rPr>
                <w:sz w:val="20"/>
              </w:rPr>
              <w:t xml:space="preserve">) gewählt. Der Wasseringenieur ist für den Bau, Instandhaltung, Wartung und Reparatur der Anlagen zuständig, wie auch für die Betreuung der </w:t>
            </w:r>
            <w:proofErr w:type="spellStart"/>
            <w:r w:rsidRPr="00C4490E">
              <w:rPr>
                <w:sz w:val="20"/>
              </w:rPr>
              <w:t>Caretaker</w:t>
            </w:r>
            <w:proofErr w:type="spellEnd"/>
            <w:r w:rsidRPr="00C4490E">
              <w:rPr>
                <w:sz w:val="20"/>
              </w:rPr>
              <w:t>. Somit sind die Kontinuität und der Unterhalt der Bauwerke gewährleistet.</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6. </w:t>
            </w:r>
            <w:r w:rsidR="007E19FC">
              <w:rPr>
                <w:b/>
                <w:sz w:val="18"/>
              </w:rPr>
              <w:t>Verhältnis zwischen</w:t>
            </w:r>
            <w:r w:rsidRPr="006354D1">
              <w:rPr>
                <w:b/>
                <w:sz w:val="18"/>
              </w:rPr>
              <w:t xml:space="preserve"> </w:t>
            </w:r>
            <w:r w:rsidR="007E19FC" w:rsidRPr="006354D1">
              <w:rPr>
                <w:b/>
                <w:sz w:val="18"/>
              </w:rPr>
              <w:t>Inputs</w:t>
            </w:r>
            <w:r w:rsidRPr="006354D1">
              <w:rPr>
                <w:b/>
                <w:sz w:val="18"/>
              </w:rPr>
              <w:t xml:space="preserve"> </w:t>
            </w:r>
            <w:r w:rsidR="007E19FC">
              <w:rPr>
                <w:b/>
                <w:sz w:val="18"/>
              </w:rPr>
              <w:t>und</w:t>
            </w:r>
            <w:r w:rsidR="00576201" w:rsidRPr="006354D1">
              <w:rPr>
                <w:b/>
                <w:sz w:val="18"/>
              </w:rPr>
              <w:t xml:space="preserve"> </w:t>
            </w:r>
            <w:r w:rsidR="007E19FC" w:rsidRPr="006354D1">
              <w:rPr>
                <w:b/>
                <w:sz w:val="18"/>
              </w:rPr>
              <w:t>Outputs</w:t>
            </w:r>
          </w:p>
        </w:tc>
      </w:tr>
      <w:tr w:rsidR="009B3753" w:rsidRPr="006354D1">
        <w:trPr>
          <w:jc w:val="center"/>
        </w:trPr>
        <w:tc>
          <w:tcPr>
            <w:tcW w:w="9498" w:type="dxa"/>
            <w:tcBorders>
              <w:left w:val="single" w:sz="4" w:space="0" w:color="000000"/>
              <w:bottom w:val="single" w:sz="4" w:space="0" w:color="000000"/>
              <w:right w:val="single" w:sz="4" w:space="0" w:color="000000"/>
            </w:tcBorders>
          </w:tcPr>
          <w:p w:rsidR="009B3753" w:rsidRPr="00C4490E" w:rsidRDefault="00C4490E" w:rsidP="00C4490E">
            <w:pPr>
              <w:snapToGrid w:val="0"/>
              <w:spacing w:before="40" w:after="40"/>
              <w:rPr>
                <w:sz w:val="20"/>
              </w:rPr>
            </w:pPr>
            <w:r w:rsidRPr="00C4490E">
              <w:rPr>
                <w:sz w:val="20"/>
              </w:rPr>
              <w:t>Die Gesamtkosten pro Nutzniesser von CHF 6 sind sehr tief. Das Projekt nutzt vorteilhaft die schon vorhandene Infrastruktur, Logistik und Durchführungsmechanismen.</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9B3753">
            <w:pPr>
              <w:snapToGrid w:val="0"/>
              <w:spacing w:before="40" w:after="40"/>
              <w:rPr>
                <w:b/>
                <w:sz w:val="18"/>
              </w:rPr>
            </w:pPr>
            <w:r w:rsidRPr="006354D1">
              <w:rPr>
                <w:b/>
                <w:sz w:val="18"/>
              </w:rPr>
              <w:t xml:space="preserve">7. </w:t>
            </w:r>
            <w:r w:rsidR="007E19FC">
              <w:rPr>
                <w:b/>
                <w:sz w:val="18"/>
              </w:rPr>
              <w:t>Bemerkungen</w:t>
            </w:r>
          </w:p>
        </w:tc>
      </w:tr>
      <w:tr w:rsidR="009B3753" w:rsidRPr="00C4490E">
        <w:trPr>
          <w:jc w:val="center"/>
        </w:trPr>
        <w:tc>
          <w:tcPr>
            <w:tcW w:w="9498" w:type="dxa"/>
            <w:tcBorders>
              <w:left w:val="single" w:sz="4" w:space="0" w:color="000000"/>
              <w:bottom w:val="single" w:sz="4" w:space="0" w:color="000000"/>
              <w:right w:val="single" w:sz="4" w:space="0" w:color="000000"/>
            </w:tcBorders>
          </w:tcPr>
          <w:p w:rsidR="009B3753" w:rsidRPr="00C4490E" w:rsidRDefault="00C4490E">
            <w:pPr>
              <w:pStyle w:val="BodyText2"/>
              <w:spacing w:before="40" w:after="40"/>
            </w:pPr>
            <w:r w:rsidRPr="00C4490E">
              <w:t>Öffentlichkeitsarbeit für den Umgang mit Wasser, Latrinen und das Händewaschen (Hygiene) wird als sehr wichtig eingestuft und gleichzeitig mit dem Erstellen der Anlagen durchgeführt.</w:t>
            </w:r>
          </w:p>
        </w:tc>
      </w:tr>
      <w:tr w:rsidR="009B3753" w:rsidRPr="006354D1">
        <w:trPr>
          <w:jc w:val="center"/>
        </w:trPr>
        <w:tc>
          <w:tcPr>
            <w:tcW w:w="9498" w:type="dxa"/>
            <w:tcBorders>
              <w:left w:val="single" w:sz="4" w:space="0" w:color="000000"/>
              <w:bottom w:val="single" w:sz="4" w:space="0" w:color="000000"/>
              <w:right w:val="single" w:sz="4" w:space="0" w:color="000000"/>
            </w:tcBorders>
            <w:shd w:val="clear" w:color="auto" w:fill="F3F3F3"/>
          </w:tcPr>
          <w:p w:rsidR="009B3753" w:rsidRPr="006354D1" w:rsidRDefault="007E19FC">
            <w:pPr>
              <w:snapToGrid w:val="0"/>
              <w:spacing w:before="40" w:after="40"/>
              <w:rPr>
                <w:b/>
                <w:sz w:val="18"/>
              </w:rPr>
            </w:pPr>
            <w:r>
              <w:rPr>
                <w:b/>
                <w:sz w:val="18"/>
              </w:rPr>
              <w:t>Datum, Verfasser der Zweitmeinung und Kontaktdetails</w:t>
            </w:r>
          </w:p>
        </w:tc>
      </w:tr>
      <w:tr w:rsidR="009B3753" w:rsidRPr="00C4490E">
        <w:trPr>
          <w:cantSplit/>
          <w:jc w:val="center"/>
        </w:trPr>
        <w:tc>
          <w:tcPr>
            <w:tcW w:w="9498" w:type="dxa"/>
            <w:tcBorders>
              <w:left w:val="single" w:sz="4" w:space="0" w:color="000000"/>
              <w:bottom w:val="single" w:sz="4" w:space="0" w:color="000000"/>
              <w:right w:val="single" w:sz="4" w:space="0" w:color="000000"/>
            </w:tcBorders>
          </w:tcPr>
          <w:p w:rsidR="00C4490E" w:rsidRPr="00C4490E" w:rsidRDefault="00C4490E" w:rsidP="00C4490E">
            <w:pPr>
              <w:snapToGrid w:val="0"/>
              <w:spacing w:before="40" w:after="40"/>
              <w:rPr>
                <w:sz w:val="20"/>
              </w:rPr>
            </w:pPr>
            <w:r w:rsidRPr="00C4490E">
              <w:rPr>
                <w:sz w:val="20"/>
              </w:rPr>
              <w:t xml:space="preserve">Bernhard Hiller, </w:t>
            </w:r>
            <w:proofErr w:type="spellStart"/>
            <w:r w:rsidRPr="00C4490E">
              <w:rPr>
                <w:sz w:val="20"/>
              </w:rPr>
              <w:t>Agnesa</w:t>
            </w:r>
            <w:proofErr w:type="spellEnd"/>
            <w:r w:rsidRPr="00C4490E">
              <w:rPr>
                <w:sz w:val="20"/>
              </w:rPr>
              <w:t xml:space="preserve"> </w:t>
            </w:r>
            <w:proofErr w:type="spellStart"/>
            <w:r w:rsidRPr="00C4490E">
              <w:rPr>
                <w:sz w:val="20"/>
              </w:rPr>
              <w:t>Rosca</w:t>
            </w:r>
            <w:proofErr w:type="spellEnd"/>
            <w:r w:rsidRPr="00C4490E">
              <w:rPr>
                <w:sz w:val="20"/>
              </w:rPr>
              <w:t xml:space="preserve"> 6, 2009 </w:t>
            </w:r>
            <w:proofErr w:type="spellStart"/>
            <w:r w:rsidRPr="00C4490E">
              <w:rPr>
                <w:sz w:val="20"/>
              </w:rPr>
              <w:t>Chisinau</w:t>
            </w:r>
            <w:proofErr w:type="spellEnd"/>
            <w:r w:rsidRPr="00C4490E">
              <w:rPr>
                <w:sz w:val="20"/>
              </w:rPr>
              <w:t xml:space="preserve">, Moldawien, </w:t>
            </w:r>
            <w:hyperlink r:id="rId7" w:history="1">
              <w:r w:rsidRPr="00C8548D">
                <w:rPr>
                  <w:rStyle w:val="Hyperlink"/>
                  <w:sz w:val="20"/>
                </w:rPr>
                <w:t>bernhardhiller@gmx.ch</w:t>
              </w:r>
            </w:hyperlink>
            <w:r>
              <w:rPr>
                <w:sz w:val="20"/>
              </w:rPr>
              <w:t xml:space="preserve"> </w:t>
            </w:r>
          </w:p>
          <w:p w:rsidR="00C4490E" w:rsidRPr="00C4490E" w:rsidRDefault="00C4490E" w:rsidP="00C4490E">
            <w:pPr>
              <w:snapToGrid w:val="0"/>
              <w:spacing w:before="40" w:after="40"/>
              <w:rPr>
                <w:sz w:val="20"/>
              </w:rPr>
            </w:pPr>
            <w:r w:rsidRPr="00C4490E">
              <w:rPr>
                <w:sz w:val="20"/>
              </w:rPr>
              <w:t xml:space="preserve">Projektkoordinator Schweizerisches </w:t>
            </w:r>
            <w:proofErr w:type="spellStart"/>
            <w:r w:rsidRPr="00C4490E">
              <w:rPr>
                <w:sz w:val="20"/>
              </w:rPr>
              <w:t>ApaSan</w:t>
            </w:r>
            <w:proofErr w:type="spellEnd"/>
            <w:r w:rsidRPr="00C4490E">
              <w:rPr>
                <w:sz w:val="20"/>
              </w:rPr>
              <w:t xml:space="preserve"> Projekt, Moldawien, Skat, St. Gallen</w:t>
            </w:r>
          </w:p>
          <w:p w:rsidR="009B3753" w:rsidRPr="00C4490E" w:rsidRDefault="00C4490E">
            <w:pPr>
              <w:snapToGrid w:val="0"/>
              <w:spacing w:before="40" w:after="40"/>
              <w:rPr>
                <w:sz w:val="20"/>
              </w:rPr>
            </w:pPr>
            <w:proofErr w:type="spellStart"/>
            <w:r w:rsidRPr="00C4490E">
              <w:rPr>
                <w:sz w:val="20"/>
              </w:rPr>
              <w:t>Chisinau</w:t>
            </w:r>
            <w:proofErr w:type="spellEnd"/>
            <w:r w:rsidRPr="00C4490E">
              <w:rPr>
                <w:sz w:val="20"/>
              </w:rPr>
              <w:t>, 11. März 2011</w:t>
            </w:r>
          </w:p>
        </w:tc>
      </w:tr>
    </w:tbl>
    <w:p w:rsidR="009B3753" w:rsidRPr="006354D1" w:rsidRDefault="009B3753">
      <w:pPr>
        <w:pStyle w:val="List"/>
        <w:spacing w:before="120" w:after="40"/>
        <w:jc w:val="right"/>
        <w:rPr>
          <w:sz w:val="2"/>
        </w:rPr>
      </w:pPr>
    </w:p>
    <w:sectPr w:rsidR="009B3753" w:rsidRPr="006354D1">
      <w:headerReference w:type="default" r:id="rId8"/>
      <w:footerReference w:type="default" r:id="rId9"/>
      <w:footnotePr>
        <w:pos w:val="beneathText"/>
      </w:footnotePr>
      <w:pgSz w:w="11900" w:h="16837"/>
      <w:pgMar w:top="1134" w:right="1134" w:bottom="851" w:left="1134" w:header="709" w:footer="51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53" w:rsidRDefault="009B3753">
      <w:r>
        <w:separator/>
      </w:r>
    </w:p>
  </w:endnote>
  <w:endnote w:type="continuationSeparator" w:id="0">
    <w:p w:rsidR="009B3753" w:rsidRDefault="009B375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53" w:rsidRDefault="009B3753">
    <w:pPr>
      <w:pStyle w:val="Footer"/>
      <w:spacing w:befor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53" w:rsidRDefault="009B3753">
      <w:r>
        <w:separator/>
      </w:r>
    </w:p>
  </w:footnote>
  <w:footnote w:type="continuationSeparator" w:id="0">
    <w:p w:rsidR="009B3753" w:rsidRDefault="009B3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753" w:rsidRDefault="00C4490E">
    <w:pPr>
      <w:pStyle w:val="Header"/>
      <w:rPr>
        <w:szCs w:val="20"/>
        <w:lang w:val="de-CH"/>
      </w:rPr>
    </w:pPr>
    <w:r>
      <w:rPr>
        <w:noProof/>
        <w:lang w:eastAsia="de-CH"/>
      </w:rPr>
      <w:drawing>
        <wp:anchor distT="0" distB="0" distL="114935" distR="114935" simplePos="0" relativeHeight="251657728" behindDoc="1" locked="0" layoutInCell="1" allowOverlap="1">
          <wp:simplePos x="0" y="0"/>
          <wp:positionH relativeFrom="column">
            <wp:posOffset>4817745</wp:posOffset>
          </wp:positionH>
          <wp:positionV relativeFrom="paragraph">
            <wp:posOffset>-104775</wp:posOffset>
          </wp:positionV>
          <wp:extent cx="1713865" cy="227965"/>
          <wp:effectExtent l="1905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21689" b="49986"/>
                  <a:stretch>
                    <a:fillRect/>
                  </a:stretch>
                </pic:blipFill>
                <pic:spPr bwMode="auto">
                  <a:xfrm>
                    <a:off x="0" y="0"/>
                    <a:ext cx="1713865" cy="227965"/>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5"/>
      <w:numFmt w:val="bullet"/>
      <w:lvlText w:val="-"/>
      <w:lvlJc w:val="left"/>
      <w:pPr>
        <w:tabs>
          <w:tab w:val="num" w:pos="720"/>
        </w:tabs>
      </w:pPr>
      <w:rPr>
        <w:rFonts w:ascii="Arial" w:hAnsi="Arial"/>
      </w:rPr>
    </w:lvl>
  </w:abstractNum>
  <w:abstractNum w:abstractNumId="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84FFC"/>
    <w:rsid w:val="001D67FF"/>
    <w:rsid w:val="00576201"/>
    <w:rsid w:val="00584FFC"/>
    <w:rsid w:val="006354D1"/>
    <w:rsid w:val="007E19FC"/>
    <w:rsid w:val="009B3753"/>
    <w:rsid w:val="00A22EE2"/>
    <w:rsid w:val="00C4490E"/>
    <w:rsid w:val="00D52C36"/>
    <w:rsid w:val="00EA129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spacing w:before="120"/>
    </w:pPr>
    <w:rPr>
      <w:rFonts w:ascii="Arial" w:hAnsi="Arial"/>
      <w:sz w:val="22"/>
      <w:szCs w:val="22"/>
      <w:lang w:eastAsia="ar-SA"/>
    </w:rPr>
  </w:style>
  <w:style w:type="paragraph" w:styleId="Heading1">
    <w:name w:val="heading 1"/>
    <w:basedOn w:val="Normal"/>
    <w:next w:val="Normal"/>
    <w:qFormat/>
    <w:pPr>
      <w:keepNext/>
      <w:spacing w:before="0"/>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Arial" w:eastAsia="Times New Roman" w:hAnsi="Aria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Arial" w:eastAsia="Times New Roman" w:hAnsi="Aria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styleId="DefaultParagraphFont0">
    <w:name w:val="Default Paragraph Font"/>
    <w:semiHidden/>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spacing w:before="0" w:after="120"/>
    </w:pPr>
  </w:style>
  <w:style w:type="paragraph" w:styleId="List">
    <w:name w:val="List"/>
    <w:basedOn w:val="BodyText"/>
    <w:rPr>
      <w:rFonts w:cs="Tahoma"/>
    </w:rPr>
  </w:style>
  <w:style w:type="paragraph" w:customStyle="1" w:styleId="Caption1">
    <w:name w:val="Caption1"/>
    <w:basedOn w:val="Normal"/>
    <w:pPr>
      <w:suppressLineNumbers/>
      <w:spacing w:after="120"/>
    </w:pPr>
    <w:rPr>
      <w:rFonts w:cs="Tahoma"/>
      <w:i/>
      <w:iCs/>
      <w:sz w:val="24"/>
      <w:szCs w:val="24"/>
    </w:rPr>
  </w:style>
  <w:style w:type="paragraph" w:customStyle="1" w:styleId="Index">
    <w:name w:val="Index"/>
    <w:basedOn w:val="Normal"/>
    <w:pPr>
      <w:suppressLineNumbers/>
    </w:pPr>
    <w:rPr>
      <w:rFonts w:cs="Tahoma"/>
    </w:rPr>
  </w:style>
  <w:style w:type="paragraph" w:customStyle="1" w:styleId="berschrift4">
    <w:name w:val="Überschrift_4"/>
    <w:basedOn w:val="Normal"/>
    <w:pPr>
      <w:spacing w:before="200"/>
    </w:pPr>
    <w:rPr>
      <w:b/>
      <w:szCs w:val="18"/>
      <w:lang w:val="de-DE"/>
    </w:rPr>
  </w:style>
  <w:style w:type="paragraph" w:customStyle="1" w:styleId="kastentext">
    <w:name w:val="kastentext"/>
    <w:basedOn w:val="Normal"/>
    <w:rPr>
      <w:i/>
      <w:sz w:val="16"/>
      <w:szCs w:val="18"/>
      <w:lang w:val="de-D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snapToGrid w:val="0"/>
      <w:spacing w:before="60" w:after="60"/>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bernhardhiller@gmx.ch"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1D906AAB507409FFFA16A696648E4" ma:contentTypeVersion="10" ma:contentTypeDescription="Crée un document." ma:contentTypeScope="" ma:versionID="a8927a38f68f1d81110fe1d063bda312">
  <xsd:schema xmlns:xsd="http://www.w3.org/2001/XMLSchema" xmlns:xs="http://www.w3.org/2001/XMLSchema" xmlns:p="http://schemas.microsoft.com/office/2006/metadata/properties" xmlns:ns2="42a3bd66-1a5b-498d-a95c-db100f66fc54" targetNamespace="http://schemas.microsoft.com/office/2006/metadata/properties" ma:root="true" ma:fieldsID="d442ee634f0dc83c7d596915298fab5d" ns2:_="">
    <xsd:import namespace="42a3bd66-1a5b-498d-a95c-db100f66f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3bd66-1a5b-498d-a95c-db100f66f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558FE-3C6C-4EE7-8FCD-382629284768}"/>
</file>

<file path=customXml/itemProps2.xml><?xml version="1.0" encoding="utf-8"?>
<ds:datastoreItem xmlns:ds="http://schemas.openxmlformats.org/officeDocument/2006/customXml" ds:itemID="{A1543E37-D22F-4E25-B84B-76BFB44767D2}"/>
</file>

<file path=customXml/itemProps3.xml><?xml version="1.0" encoding="utf-8"?>
<ds:datastoreItem xmlns:ds="http://schemas.openxmlformats.org/officeDocument/2006/customXml" ds:itemID="{325D3D52-F2EF-4741-8645-57AEBEB4F079}"/>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3421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Solidarit’Eau Suisse Aguasan 2nd opinion</vt:lpstr>
    </vt:vector>
  </TitlesOfParts>
  <Company>HP</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Solidarit’Eau Suisse Aguasan 2nd opinion</dc:title>
  <dc:creator>Roger Schmid</dc:creator>
  <cp:lastModifiedBy>Roger Schmid</cp:lastModifiedBy>
  <cp:revision>3</cp:revision>
  <cp:lastPrinted>2008-03-06T08:16:00Z</cp:lastPrinted>
  <dcterms:created xsi:type="dcterms:W3CDTF">2011-03-11T12:46:00Z</dcterms:created>
  <dcterms:modified xsi:type="dcterms:W3CDTF">2011-03-11T12:46:00Z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0x010100C321D906AAB507409FFFA16A696648E4</vt:lpwstr>
  </property>
</Properties>
</file>