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88A5D" w14:textId="77777777" w:rsidR="00BC6065" w:rsidRPr="00464166" w:rsidRDefault="00BC6065" w:rsidP="00F369C5">
      <w:pPr>
        <w:spacing w:before="0"/>
        <w:rPr>
          <w:b/>
          <w:sz w:val="12"/>
          <w:szCs w:val="16"/>
        </w:rPr>
      </w:pPr>
    </w:p>
    <w:tbl>
      <w:tblPr>
        <w:tblpPr w:leftFromText="141" w:rightFromText="141" w:vertAnchor="text" w:horzAnchor="margin" w:tblpY="-4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5382"/>
        <w:gridCol w:w="2182"/>
      </w:tblGrid>
      <w:tr w:rsidR="00BC6065" w:rsidRPr="00187BB2" w14:paraId="1D441C33" w14:textId="77777777" w:rsidTr="00F369C5">
        <w:trPr>
          <w:trHeight w:val="51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0E81A" w14:textId="77777777" w:rsidR="00BC6065" w:rsidRPr="00187BB2" w:rsidRDefault="00506B8B" w:rsidP="00FB5056">
            <w:pPr>
              <w:rPr>
                <w:rFonts w:ascii="Calibri" w:eastAsia="Calibri" w:hAnsi="Calibri"/>
                <w:b/>
                <w:sz w:val="28"/>
                <w:szCs w:val="28"/>
                <w:lang w:eastAsia="en-US"/>
              </w:rPr>
            </w:pPr>
            <w:r w:rsidRPr="00187BB2">
              <w:rPr>
                <w:rFonts w:ascii="Calibri" w:eastAsia="Calibri" w:hAnsi="Calibri"/>
                <w:noProof/>
                <w:lang w:val="en-GB" w:eastAsia="en-GB"/>
              </w:rPr>
              <w:drawing>
                <wp:inline distT="0" distB="0" distL="0" distR="0" wp14:anchorId="40D00271" wp14:editId="06FA8F68">
                  <wp:extent cx="572135" cy="548005"/>
                  <wp:effectExtent l="0" t="0" r="0" b="4445"/>
                  <wp:docPr id="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0">
                            <a:extLst>
                              <a:ext uri="{28A0092B-C50C-407E-A947-70E740481C1C}">
                                <a14:useLocalDpi xmlns:a14="http://schemas.microsoft.com/office/drawing/2010/main" val="0"/>
                              </a:ext>
                            </a:extLst>
                          </a:blip>
                          <a:srcRect r="87537"/>
                          <a:stretch>
                            <a:fillRect/>
                          </a:stretch>
                        </pic:blipFill>
                        <pic:spPr bwMode="auto">
                          <a:xfrm>
                            <a:off x="0" y="0"/>
                            <a:ext cx="572135" cy="548005"/>
                          </a:xfrm>
                          <a:prstGeom prst="rect">
                            <a:avLst/>
                          </a:prstGeom>
                          <a:noFill/>
                        </pic:spPr>
                      </pic:pic>
                    </a:graphicData>
                  </a:graphic>
                </wp:inline>
              </w:drawing>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9F510E1" w14:textId="77777777" w:rsidR="00BC6065" w:rsidRPr="00187BB2" w:rsidRDefault="00506B8B" w:rsidP="00F369C5">
            <w:pPr>
              <w:jc w:val="center"/>
              <w:rPr>
                <w:rFonts w:eastAsia="Calibri"/>
                <w:i/>
                <w:sz w:val="28"/>
                <w:szCs w:val="28"/>
              </w:rPr>
            </w:pPr>
            <w:r w:rsidRPr="00187BB2">
              <w:rPr>
                <w:rFonts w:eastAsia="Calibri"/>
                <w:noProof/>
                <w:lang w:val="en-GB" w:eastAsia="en-GB"/>
              </w:rPr>
              <w:drawing>
                <wp:inline distT="0" distB="0" distL="0" distR="0" wp14:anchorId="555C40E7" wp14:editId="1EEF6577">
                  <wp:extent cx="2317750" cy="272415"/>
                  <wp:effectExtent l="0" t="0" r="6350" b="0"/>
                  <wp:docPr id="4"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272415"/>
                          </a:xfrm>
                          <a:prstGeom prst="rect">
                            <a:avLst/>
                          </a:prstGeom>
                          <a:noFill/>
                        </pic:spPr>
                      </pic:pic>
                    </a:graphicData>
                  </a:graphic>
                </wp:inline>
              </w:drawing>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953CA3" w14:textId="77777777" w:rsidR="00BC6065" w:rsidRPr="00187BB2" w:rsidRDefault="00506B8B" w:rsidP="00FB5056">
            <w:pPr>
              <w:rPr>
                <w:rFonts w:eastAsia="Calibri"/>
                <w:b/>
                <w:sz w:val="28"/>
                <w:szCs w:val="28"/>
              </w:rPr>
            </w:pPr>
            <w:r w:rsidRPr="00187BB2">
              <w:rPr>
                <w:rFonts w:eastAsia="Calibri"/>
                <w:noProof/>
                <w:lang w:val="en-GB" w:eastAsia="en-GB"/>
              </w:rPr>
              <mc:AlternateContent>
                <mc:Choice Requires="wps">
                  <w:drawing>
                    <wp:anchor distT="0" distB="0" distL="114300" distR="114300" simplePos="0" relativeHeight="251658752" behindDoc="0" locked="0" layoutInCell="1" allowOverlap="1" wp14:anchorId="36AC222A" wp14:editId="4F77BD93">
                      <wp:simplePos x="0" y="0"/>
                      <wp:positionH relativeFrom="column">
                        <wp:posOffset>48260</wp:posOffset>
                      </wp:positionH>
                      <wp:positionV relativeFrom="paragraph">
                        <wp:posOffset>260350</wp:posOffset>
                      </wp:positionV>
                      <wp:extent cx="1428750" cy="374650"/>
                      <wp:effectExtent l="0" t="0" r="0" b="63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4650"/>
                              </a:xfrm>
                              <a:prstGeom prst="rect">
                                <a:avLst/>
                              </a:prstGeom>
                              <a:noFill/>
                              <a:ln>
                                <a:noFill/>
                              </a:ln>
                            </wps:spPr>
                            <wps:txbx>
                              <w:txbxContent>
                                <w:p w14:paraId="746FDE9B" w14:textId="3CDC35A0" w:rsidR="00BC6065" w:rsidRDefault="00BC6065" w:rsidP="00BC6065">
                                  <w:pPr>
                                    <w:pStyle w:val="StandardWeb"/>
                                    <w:spacing w:before="0" w:beforeAutospacing="0" w:after="0" w:afterAutospacing="0"/>
                                  </w:pPr>
                                  <w:r>
                                    <w:rPr>
                                      <w:rFonts w:ascii="Arial" w:hAnsi="Arial" w:cs="Arial"/>
                                      <w:color w:val="000000"/>
                                      <w:sz w:val="2"/>
                                      <w:szCs w:val="2"/>
                                    </w:rPr>
                                    <w:t xml:space="preserve">  </w:t>
                                  </w:r>
                                  <w:r>
                                    <w:rPr>
                                      <w:rFonts w:ascii="Arial" w:hAnsi="Arial" w:cs="Arial"/>
                                      <w:color w:val="000000"/>
                                      <w:sz w:val="16"/>
                                      <w:szCs w:val="16"/>
                                    </w:rPr>
                                    <w:t xml:space="preserve">Version du </w:t>
                                  </w:r>
                                  <w:r w:rsidR="00560711">
                                    <w:rPr>
                                      <w:rFonts w:ascii="Arial" w:hAnsi="Arial" w:cs="Arial"/>
                                      <w:color w:val="000000"/>
                                      <w:sz w:val="16"/>
                                      <w:szCs w:val="16"/>
                                    </w:rPr>
                                    <w:t>23</w:t>
                                  </w:r>
                                  <w:r>
                                    <w:rPr>
                                      <w:rFonts w:ascii="Arial" w:hAnsi="Arial" w:cs="Arial"/>
                                      <w:color w:val="000000"/>
                                      <w:sz w:val="16"/>
                                      <w:szCs w:val="16"/>
                                    </w:rPr>
                                    <w:t xml:space="preserve"> </w:t>
                                  </w:r>
                                  <w:r w:rsidR="00A80FFB">
                                    <w:rPr>
                                      <w:rFonts w:ascii="Arial" w:hAnsi="Arial" w:cs="Arial"/>
                                      <w:color w:val="000000"/>
                                      <w:sz w:val="16"/>
                                      <w:szCs w:val="16"/>
                                    </w:rPr>
                                    <w:t>Avril</w:t>
                                  </w:r>
                                  <w:r>
                                    <w:rPr>
                                      <w:rFonts w:ascii="Arial" w:hAnsi="Arial" w:cs="Arial"/>
                                      <w:color w:val="000000"/>
                                      <w:sz w:val="16"/>
                                      <w:szCs w:val="16"/>
                                    </w:rPr>
                                    <w:t xml:space="preserve"> 2021</w:t>
                                  </w:r>
                                </w:p>
                                <w:p w14:paraId="02BBD4D3" w14:textId="4FB5CAF8" w:rsidR="00BC6065" w:rsidRDefault="00A80FFB" w:rsidP="00BC6065">
                                  <w:pPr>
                                    <w:pStyle w:val="StandardWeb"/>
                                    <w:spacing w:before="0" w:beforeAutospacing="0" w:after="0" w:afterAutospacing="0"/>
                                  </w:pPr>
                                  <w:r>
                                    <w:rPr>
                                      <w:rFonts w:ascii="Arial" w:hAnsi="Arial" w:cs="Arial"/>
                                      <w:color w:val="000000"/>
                                      <w:sz w:val="16"/>
                                      <w:szCs w:val="16"/>
                                    </w:rPr>
                                    <w:t xml:space="preserve"> Responsable AGUASAN</w:t>
                                  </w:r>
                                  <w:r w:rsidR="00BC6065">
                                    <w:rPr>
                                      <w:rFonts w:ascii="Arial" w:hAnsi="Arial" w:cs="Arial"/>
                                      <w:color w:val="000000"/>
                                      <w:sz w:val="16"/>
                                      <w:szCs w:val="16"/>
                                    </w:rPr>
                                    <w:t xml:space="preserve">       </w:t>
                                  </w:r>
                                </w:p>
                                <w:p w14:paraId="7AE06782" w14:textId="32A141A1" w:rsidR="00BC6065" w:rsidRDefault="00A80FFB" w:rsidP="00BC6065">
                                  <w:pPr>
                                    <w:pStyle w:val="StandardWeb"/>
                                    <w:spacing w:before="0" w:beforeAutospacing="0" w:after="0" w:afterAutospacing="0"/>
                                  </w:pPr>
                                  <w:r>
                                    <w:rPr>
                                      <w:rFonts w:ascii="Arial" w:hAnsi="Arial" w:cs="Arial"/>
                                      <w:color w:val="000000"/>
                                      <w:sz w:val="16"/>
                                      <w:szCs w:val="16"/>
                                    </w:rPr>
                                    <w:t xml:space="preserve"> Approuvé par </w:t>
                                  </w:r>
                                  <w:r w:rsidR="00560711">
                                    <w:rPr>
                                      <w:rFonts w:ascii="Arial" w:hAnsi="Arial" w:cs="Arial"/>
                                      <w:color w:val="000000"/>
                                      <w:sz w:val="16"/>
                                      <w:szCs w:val="16"/>
                                    </w:rPr>
                                    <w:t>SHR, VGT</w:t>
                                  </w:r>
                                  <w:r w:rsidR="00BC6065">
                                    <w:rPr>
                                      <w:rFonts w:ascii="Arial" w:hAnsi="Arial" w:cs="Arial"/>
                                      <w:color w:val="000000"/>
                                      <w:sz w:val="16"/>
                                      <w:szCs w:val="16"/>
                                    </w:rPr>
                                    <w:t xml:space="preserve">    </w:t>
                                  </w:r>
                                </w:p>
                              </w:txbxContent>
                            </wps:txbx>
                            <wps:bodyPr rot="0" vert="horz" wrap="square" lIns="18288" tIns="18288"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C222A" id="_x0000_t202" coordsize="21600,21600" o:spt="202" path="m,l,21600r21600,l21600,xe">
                      <v:stroke joinstyle="miter"/>
                      <v:path gradientshapeok="t" o:connecttype="rect"/>
                    </v:shapetype>
                    <v:shape id="Text Box 25" o:spid="_x0000_s1026" type="#_x0000_t202" style="position:absolute;margin-left:3.8pt;margin-top:20.5pt;width:112.5pt;height: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" filled="f" stroked="f">
                      <v:textbox inset="1.44pt,1.44pt,0,0">
                        <w:txbxContent>
                          <w:p w14:paraId="746FDE9B" w14:textId="3CDC35A0" w:rsidR="00BC6065" w:rsidRDefault="00BC6065" w:rsidP="00BC6065">
                            <w:pPr>
                              <w:pStyle w:val="NormalWeb"/>
                              <w:spacing w:before="0" w:beforeAutospacing="0" w:after="0" w:afterAutospacing="0"/>
                            </w:pPr>
                            <w:r>
                              <w:rPr>
                                <w:rFonts w:ascii="Arial" w:hAnsi="Arial" w:cs="Arial"/>
                                <w:color w:val="000000"/>
                                <w:sz w:val="2"/>
                                <w:szCs w:val="2"/>
                              </w:rPr>
                              <w:t xml:space="preserve">  </w:t>
                            </w:r>
                            <w:r>
                              <w:rPr>
                                <w:rFonts w:ascii="Arial" w:hAnsi="Arial" w:cs="Arial"/>
                                <w:color w:val="000000"/>
                                <w:sz w:val="16"/>
                                <w:szCs w:val="16"/>
                              </w:rPr>
                              <w:t xml:space="preserve">Version du </w:t>
                            </w:r>
                            <w:r w:rsidR="00560711">
                              <w:rPr>
                                <w:rFonts w:ascii="Arial" w:hAnsi="Arial" w:cs="Arial"/>
                                <w:color w:val="000000"/>
                                <w:sz w:val="16"/>
                                <w:szCs w:val="16"/>
                              </w:rPr>
                              <w:t>23</w:t>
                            </w:r>
                            <w:r>
                              <w:rPr>
                                <w:rFonts w:ascii="Arial" w:hAnsi="Arial" w:cs="Arial"/>
                                <w:color w:val="000000"/>
                                <w:sz w:val="16"/>
                                <w:szCs w:val="16"/>
                              </w:rPr>
                              <w:t xml:space="preserve"> </w:t>
                            </w:r>
                            <w:r w:rsidR="00A80FFB">
                              <w:rPr>
                                <w:rFonts w:ascii="Arial" w:hAnsi="Arial" w:cs="Arial"/>
                                <w:color w:val="000000"/>
                                <w:sz w:val="16"/>
                                <w:szCs w:val="16"/>
                              </w:rPr>
                              <w:t>Avril</w:t>
                            </w:r>
                            <w:r>
                              <w:rPr>
                                <w:rFonts w:ascii="Arial" w:hAnsi="Arial" w:cs="Arial"/>
                                <w:color w:val="000000"/>
                                <w:sz w:val="16"/>
                                <w:szCs w:val="16"/>
                              </w:rPr>
                              <w:t xml:space="preserve"> 2021</w:t>
                            </w:r>
                          </w:p>
                          <w:p w14:paraId="02BBD4D3" w14:textId="4FB5CAF8" w:rsidR="00BC6065" w:rsidRDefault="00A80FFB" w:rsidP="00BC6065">
                            <w:pPr>
                              <w:pStyle w:val="NormalWeb"/>
                              <w:spacing w:before="0" w:beforeAutospacing="0" w:after="0" w:afterAutospacing="0"/>
                            </w:pPr>
                            <w:r>
                              <w:rPr>
                                <w:rFonts w:ascii="Arial" w:hAnsi="Arial" w:cs="Arial"/>
                                <w:color w:val="000000"/>
                                <w:sz w:val="16"/>
                                <w:szCs w:val="16"/>
                              </w:rPr>
                              <w:t xml:space="preserve"> Responsable AGUASAN</w:t>
                            </w:r>
                            <w:r w:rsidR="00BC6065">
                              <w:rPr>
                                <w:rFonts w:ascii="Arial" w:hAnsi="Arial" w:cs="Arial"/>
                                <w:color w:val="000000"/>
                                <w:sz w:val="16"/>
                                <w:szCs w:val="16"/>
                              </w:rPr>
                              <w:t xml:space="preserve">       </w:t>
                            </w:r>
                          </w:p>
                          <w:p w14:paraId="7AE06782" w14:textId="32A141A1" w:rsidR="00BC6065" w:rsidRDefault="00A80FFB" w:rsidP="00BC6065">
                            <w:pPr>
                              <w:pStyle w:val="NormalWeb"/>
                              <w:spacing w:before="0" w:beforeAutospacing="0" w:after="0" w:afterAutospacing="0"/>
                            </w:pPr>
                            <w:r>
                              <w:rPr>
                                <w:rFonts w:ascii="Arial" w:hAnsi="Arial" w:cs="Arial"/>
                                <w:color w:val="000000"/>
                                <w:sz w:val="16"/>
                                <w:szCs w:val="16"/>
                              </w:rPr>
                              <w:t xml:space="preserve"> Approuvé par </w:t>
                            </w:r>
                            <w:r w:rsidR="00560711">
                              <w:rPr>
                                <w:rFonts w:ascii="Arial" w:hAnsi="Arial" w:cs="Arial"/>
                                <w:color w:val="000000"/>
                                <w:sz w:val="16"/>
                                <w:szCs w:val="16"/>
                              </w:rPr>
                              <w:t>SHR, VGT</w:t>
                            </w:r>
                            <w:r w:rsidR="00BC6065">
                              <w:rPr>
                                <w:rFonts w:ascii="Arial" w:hAnsi="Arial" w:cs="Arial"/>
                                <w:color w:val="000000"/>
                                <w:sz w:val="16"/>
                                <w:szCs w:val="16"/>
                              </w:rPr>
                              <w:t xml:space="preserve">    </w:t>
                            </w:r>
                          </w:p>
                        </w:txbxContent>
                      </v:textbox>
                    </v:shape>
                  </w:pict>
                </mc:Fallback>
              </mc:AlternateContent>
            </w:r>
            <w:r w:rsidRPr="00187BB2">
              <w:rPr>
                <w:rFonts w:eastAsia="Calibri"/>
                <w:noProof/>
                <w:lang w:val="en-GB" w:eastAsia="en-GB"/>
              </w:rPr>
              <mc:AlternateContent>
                <mc:Choice Requires="wps">
                  <w:drawing>
                    <wp:anchor distT="0" distB="0" distL="114300" distR="114300" simplePos="0" relativeHeight="251656704" behindDoc="0" locked="0" layoutInCell="1" allowOverlap="1" wp14:anchorId="28E35255" wp14:editId="33DA594D">
                      <wp:simplePos x="0" y="0"/>
                      <wp:positionH relativeFrom="column">
                        <wp:posOffset>117475</wp:posOffset>
                      </wp:positionH>
                      <wp:positionV relativeFrom="paragraph">
                        <wp:posOffset>27940</wp:posOffset>
                      </wp:positionV>
                      <wp:extent cx="1223645" cy="222250"/>
                      <wp:effectExtent l="0" t="0" r="0" b="6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D977F" w14:textId="77777777" w:rsidR="00BC6065" w:rsidRDefault="00BC6065" w:rsidP="00BC6065">
                                  <w:pPr>
                                    <w:pStyle w:val="StandardWeb"/>
                                    <w:spacing w:before="0" w:beforeAutospacing="0" w:after="0" w:afterAutospacing="0"/>
                                    <w:jc w:val="center"/>
                                  </w:pPr>
                                  <w:r>
                                    <w:rPr>
                                      <w:rFonts w:ascii="Arial" w:hAnsi="Arial" w:cs="Arial"/>
                                      <w:color w:val="000000"/>
                                      <w:sz w:val="28"/>
                                      <w:szCs w:val="28"/>
                                    </w:rPr>
                                    <w:t>SES_0</w:t>
                                  </w:r>
                                  <w:r w:rsidR="00A74B30">
                                    <w:rPr>
                                      <w:rFonts w:ascii="Arial" w:hAnsi="Arial" w:cs="Arial"/>
                                      <w:color w:val="000000"/>
                                      <w:sz w:val="28"/>
                                      <w:szCs w:val="28"/>
                                    </w:rPr>
                                    <w:t>6</w:t>
                                  </w:r>
                                </w:p>
                              </w:txbxContent>
                            </wps:txbx>
                            <wps:bodyPr rot="0" vert="horz" wrap="square" lIns="36576" tIns="27432"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5255" id="Text Box 24" o:spid="_x0000_s1027" type="#_x0000_t202" style="position:absolute;margin-left:9.25pt;margin-top:2.2pt;width:96.3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" stroked="f">
                      <v:textbox inset="2.88pt,2.16pt,2.88pt,0">
                        <w:txbxContent>
                          <w:p w14:paraId="46FD977F" w14:textId="77777777" w:rsidR="00BC6065" w:rsidRDefault="00BC6065" w:rsidP="00BC6065">
                            <w:pPr>
                              <w:pStyle w:val="NormalWeb"/>
                              <w:spacing w:before="0" w:beforeAutospacing="0" w:after="0" w:afterAutospacing="0"/>
                              <w:jc w:val="center"/>
                            </w:pPr>
                            <w:r>
                              <w:rPr>
                                <w:rFonts w:ascii="Arial" w:hAnsi="Arial" w:cs="Arial"/>
                                <w:color w:val="000000"/>
                                <w:sz w:val="28"/>
                                <w:szCs w:val="28"/>
                              </w:rPr>
                              <w:t>SES_0</w:t>
                            </w:r>
                            <w:r w:rsidR="00A74B30">
                              <w:rPr>
                                <w:rFonts w:ascii="Arial" w:hAnsi="Arial" w:cs="Arial"/>
                                <w:color w:val="000000"/>
                                <w:sz w:val="28"/>
                                <w:szCs w:val="28"/>
                              </w:rPr>
                              <w:t>6</w:t>
                            </w:r>
                          </w:p>
                        </w:txbxContent>
                      </v:textbox>
                    </v:shape>
                  </w:pict>
                </mc:Fallback>
              </mc:AlternateContent>
            </w:r>
          </w:p>
        </w:tc>
      </w:tr>
      <w:tr w:rsidR="00BC6065" w:rsidRPr="00187BB2" w14:paraId="49F92225" w14:textId="77777777" w:rsidTr="00F369C5">
        <w:trPr>
          <w:trHeight w:val="5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A81FB" w14:textId="77777777" w:rsidR="00BC6065" w:rsidRPr="00187BB2" w:rsidRDefault="00BC6065" w:rsidP="00FB5056">
            <w:pPr>
              <w:rPr>
                <w:rFonts w:eastAsia="Calibri"/>
                <w:b/>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D594F88" w14:textId="58CF7CAC" w:rsidR="00BC6065" w:rsidRPr="00187BB2" w:rsidRDefault="00BC6065" w:rsidP="00F369C5">
            <w:pPr>
              <w:jc w:val="center"/>
              <w:rPr>
                <w:rFonts w:eastAsia="Calibri"/>
                <w:i/>
                <w:sz w:val="28"/>
                <w:szCs w:val="28"/>
              </w:rPr>
            </w:pPr>
            <w:r w:rsidRPr="00187BB2">
              <w:rPr>
                <w:rFonts w:eastAsia="Calibri"/>
                <w:i/>
                <w:sz w:val="28"/>
                <w:szCs w:val="28"/>
              </w:rPr>
              <w:t>Template 2</w:t>
            </w:r>
            <w:r w:rsidRPr="00187BB2">
              <w:rPr>
                <w:rFonts w:eastAsia="Calibri"/>
                <w:i/>
                <w:sz w:val="28"/>
                <w:szCs w:val="28"/>
                <w:vertAlign w:val="superscript"/>
              </w:rPr>
              <w:t>e</w:t>
            </w:r>
            <w:r w:rsidRPr="00187BB2">
              <w:rPr>
                <w:rFonts w:eastAsia="Calibri"/>
                <w:i/>
                <w:sz w:val="28"/>
                <w:szCs w:val="28"/>
              </w:rPr>
              <w:t xml:space="preserve"> opinion</w:t>
            </w:r>
            <w:r w:rsidR="0066388A">
              <w:rPr>
                <w:rFonts w:eastAsia="Calibri"/>
                <w:i/>
                <w:sz w:val="28"/>
                <w:szCs w:val="28"/>
              </w:rPr>
              <w:t xml:space="preserve"> - DE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CC39D" w14:textId="77777777" w:rsidR="00BC6065" w:rsidRPr="00187BB2" w:rsidRDefault="00BC6065" w:rsidP="00FB5056">
            <w:pPr>
              <w:rPr>
                <w:rFonts w:eastAsia="Calibri"/>
                <w:b/>
                <w:sz w:val="28"/>
                <w:szCs w:val="28"/>
                <w:lang w:eastAsia="en-US"/>
              </w:rPr>
            </w:pPr>
          </w:p>
        </w:tc>
      </w:tr>
    </w:tbl>
    <w:p w14:paraId="759FC38C" w14:textId="77777777" w:rsidR="00633824" w:rsidRPr="008E5DC5" w:rsidRDefault="00506B8B" w:rsidP="00F369C5">
      <w:pPr>
        <w:spacing w:before="0"/>
        <w:rPr>
          <w:rFonts w:ascii="Arial Narrow" w:hAnsi="Arial Narrow"/>
          <w:b/>
          <w:szCs w:val="18"/>
        </w:rPr>
      </w:pPr>
      <w:r w:rsidRPr="008E5DC5">
        <w:rPr>
          <w:rFonts w:ascii="Arial Narrow" w:hAnsi="Arial Narrow"/>
          <w:noProof/>
          <w:sz w:val="16"/>
          <w:szCs w:val="18"/>
          <w:lang w:val="en-GB" w:eastAsia="en-GB"/>
        </w:rPr>
        <mc:AlternateContent>
          <mc:Choice Requires="wps">
            <w:drawing>
              <wp:inline distT="0" distB="0" distL="0" distR="0" wp14:anchorId="604A3649" wp14:editId="31BD8B02">
                <wp:extent cx="6120000" cy="262800"/>
                <wp:effectExtent l="0" t="0" r="14605" b="2349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62800"/>
                        </a:xfrm>
                        <a:prstGeom prst="rect">
                          <a:avLst/>
                        </a:prstGeom>
                        <a:solidFill>
                          <a:schemeClr val="bg1">
                            <a:lumMod val="95000"/>
                          </a:schemeClr>
                        </a:solidFill>
                        <a:ln w="9525">
                          <a:solidFill>
                            <a:srgbClr val="000000"/>
                          </a:solidFill>
                          <a:miter lim="800000"/>
                          <a:headEnd/>
                          <a:tailEnd/>
                        </a:ln>
                      </wps:spPr>
                      <wps:txbx>
                        <w:txbxContent>
                          <w:p w14:paraId="4F3C7A92" w14:textId="197EDE43" w:rsidR="00633824" w:rsidRPr="008E5DC5" w:rsidRDefault="008E5DC5">
                            <w:pPr>
                              <w:spacing w:before="0"/>
                              <w:jc w:val="center"/>
                              <w:rPr>
                                <w:rFonts w:ascii="Arial Narrow" w:hAnsi="Arial Narrow"/>
                                <w:b/>
                                <w:bCs/>
                                <w:sz w:val="20"/>
                                <w:szCs w:val="20"/>
                              </w:rPr>
                            </w:pPr>
                            <w:r w:rsidRPr="008E5DC5">
                              <w:rPr>
                                <w:rFonts w:ascii="Arial Narrow" w:hAnsi="Arial Narrow"/>
                                <w:b/>
                                <w:bCs/>
                                <w:sz w:val="20"/>
                                <w:szCs w:val="20"/>
                              </w:rPr>
                              <w:t>HEKS Brasilien: Kleinbauern-Gemeinschaften verteidigen ihr Recht auf Wasser, Einzugsgebiet des Rio Pardo in Bahia</w:t>
                            </w:r>
                          </w:p>
                        </w:txbxContent>
                      </wps:txbx>
                      <wps:bodyPr rot="0" vert="horz" wrap="square" lIns="91440" tIns="45720" rIns="91440" bIns="45720" anchor="t" anchorCtr="0" upright="1">
                        <a:noAutofit/>
                      </wps:bodyPr>
                    </wps:wsp>
                  </a:graphicData>
                </a:graphic>
              </wp:inline>
            </w:drawing>
          </mc:Choice>
          <mc:Fallback>
            <w:pict>
              <v:rect w14:anchorId="604A3649" id="Rectangle 2" o:spid="_x0000_s1028" style="width:481.9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" fillcolor="#f2f2f2 [3052]">
                <v:textbox>
                  <w:txbxContent>
                    <w:p w14:paraId="4F3C7A92" w14:textId="197EDE43" w:rsidR="00633824" w:rsidRPr="008E5DC5" w:rsidRDefault="008E5DC5">
                      <w:pPr>
                        <w:spacing w:before="0"/>
                        <w:jc w:val="center"/>
                        <w:rPr>
                          <w:rFonts w:ascii="Arial Narrow" w:hAnsi="Arial Narrow"/>
                          <w:b/>
                          <w:bCs/>
                          <w:sz w:val="20"/>
                          <w:szCs w:val="20"/>
                        </w:rPr>
                      </w:pPr>
                      <w:r w:rsidRPr="008E5DC5">
                        <w:rPr>
                          <w:rFonts w:ascii="Arial Narrow" w:hAnsi="Arial Narrow"/>
                          <w:b/>
                          <w:bCs/>
                          <w:sz w:val="20"/>
                          <w:szCs w:val="20"/>
                        </w:rPr>
                        <w:t xml:space="preserve">HEKS </w:t>
                      </w:r>
                      <w:r w:rsidRPr="008E5DC5">
                        <w:rPr>
                          <w:rFonts w:ascii="Arial Narrow" w:hAnsi="Arial Narrow"/>
                          <w:b/>
                          <w:bCs/>
                          <w:sz w:val="20"/>
                          <w:szCs w:val="20"/>
                        </w:rPr>
                        <w:t>Brasilien: Kleinbauern-Gemeinschaften verteidigen ihr Recht auf Wasser, Einzugsgebiet des Rio Pardo in Bahia</w:t>
                      </w:r>
                    </w:p>
                  </w:txbxContent>
                </v:textbox>
                <w10:anchorlock/>
              </v:rect>
            </w:pict>
          </mc:Fallback>
        </mc:AlternateContent>
      </w:r>
    </w:p>
    <w:p w14:paraId="0D1DD776" w14:textId="77777777" w:rsidR="00633824" w:rsidRPr="00464166" w:rsidRDefault="00633824" w:rsidP="00F369C5">
      <w:pPr>
        <w:spacing w:before="0"/>
        <w:rPr>
          <w:b/>
          <w:sz w:val="12"/>
          <w:szCs w:val="16"/>
        </w:rPr>
      </w:pPr>
    </w:p>
    <w:p w14:paraId="4CDF783F" w14:textId="6F7900C6" w:rsidR="00633824" w:rsidRPr="008E5DC5" w:rsidRDefault="00187BB2" w:rsidP="00F369C5">
      <w:pPr>
        <w:spacing w:before="0" w:after="180"/>
        <w:rPr>
          <w:b/>
          <w:szCs w:val="20"/>
        </w:rPr>
      </w:pPr>
      <w:r w:rsidRPr="008E5DC5">
        <w:rPr>
          <w:b/>
          <w:szCs w:val="20"/>
        </w:rPr>
        <w:t>Zweitmeinung</w:t>
      </w:r>
      <w:r w:rsidR="00633824" w:rsidRPr="008E5DC5">
        <w:rPr>
          <w:b/>
          <w:szCs w:val="20"/>
        </w:rPr>
        <w:t xml:space="preserve"> A</w:t>
      </w:r>
      <w:r w:rsidR="002D0B8E" w:rsidRPr="008E5DC5">
        <w:rPr>
          <w:b/>
          <w:szCs w:val="20"/>
        </w:rPr>
        <w:t>GUASAN</w:t>
      </w:r>
    </w:p>
    <w:tbl>
      <w:tblPr>
        <w:tblW w:w="0" w:type="auto"/>
        <w:jc w:val="center"/>
        <w:tblLayout w:type="fixed"/>
        <w:tblLook w:val="0000" w:firstRow="0" w:lastRow="0" w:firstColumn="0" w:lastColumn="0" w:noHBand="0" w:noVBand="0"/>
      </w:tblPr>
      <w:tblGrid>
        <w:gridCol w:w="9498"/>
      </w:tblGrid>
      <w:tr w:rsidR="00187BB2" w:rsidRPr="00464166" w14:paraId="4421C7E6" w14:textId="77777777" w:rsidTr="00187BB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14:paraId="2E851FCD" w14:textId="01B0AE0F" w:rsidR="00187BB2" w:rsidRPr="00464166" w:rsidRDefault="00187BB2" w:rsidP="009C390A">
            <w:pPr>
              <w:snapToGrid w:val="0"/>
              <w:spacing w:before="40" w:after="40"/>
              <w:rPr>
                <w:b/>
                <w:sz w:val="20"/>
                <w:szCs w:val="20"/>
              </w:rPr>
            </w:pPr>
            <w:r w:rsidRPr="00464166">
              <w:rPr>
                <w:b/>
                <w:sz w:val="20"/>
                <w:szCs w:val="20"/>
              </w:rPr>
              <w:t>Empfehlung (Schlussfolgerung der Beurteilung)</w:t>
            </w:r>
          </w:p>
        </w:tc>
      </w:tr>
      <w:tr w:rsidR="00187BB2" w:rsidRPr="00464166" w14:paraId="5C10D1DE" w14:textId="77777777" w:rsidTr="00187BB2">
        <w:trPr>
          <w:trHeight w:val="64"/>
          <w:jc w:val="center"/>
        </w:trPr>
        <w:tc>
          <w:tcPr>
            <w:tcW w:w="9498" w:type="dxa"/>
            <w:tcBorders>
              <w:left w:val="single" w:sz="4" w:space="0" w:color="000000"/>
              <w:bottom w:val="single" w:sz="4" w:space="0" w:color="000000"/>
              <w:right w:val="single" w:sz="4" w:space="0" w:color="000000"/>
            </w:tcBorders>
          </w:tcPr>
          <w:p w14:paraId="6A550E41" w14:textId="2B6BABD6" w:rsidR="00187BB2" w:rsidRPr="00464166" w:rsidRDefault="00464166" w:rsidP="00D33AE7">
            <w:pPr>
              <w:snapToGrid w:val="0"/>
              <w:spacing w:before="40" w:after="40"/>
              <w:rPr>
                <w:sz w:val="20"/>
                <w:szCs w:val="20"/>
              </w:rPr>
            </w:pPr>
            <w:r w:rsidRPr="00464166">
              <w:rPr>
                <w:sz w:val="20"/>
                <w:szCs w:val="20"/>
              </w:rPr>
              <w:t>Aufgrund</w:t>
            </w:r>
            <w:r w:rsidR="00D33AE7" w:rsidRPr="00464166">
              <w:rPr>
                <w:sz w:val="20"/>
                <w:szCs w:val="20"/>
              </w:rPr>
              <w:t xml:space="preserve"> der Projektdokumente empfehle ich das Projekt zur Unterstützung durch Solidarit’Eau Suisse und ihre Partnergemeinden. </w:t>
            </w:r>
          </w:p>
        </w:tc>
      </w:tr>
      <w:tr w:rsidR="00187BB2" w:rsidRPr="00464166" w14:paraId="763467D0" w14:textId="77777777" w:rsidTr="00187BB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14:paraId="0C500DF7" w14:textId="77777777" w:rsidR="00187BB2" w:rsidRPr="00464166" w:rsidRDefault="00187BB2" w:rsidP="009C390A">
            <w:pPr>
              <w:snapToGrid w:val="0"/>
              <w:spacing w:before="40" w:after="40"/>
              <w:rPr>
                <w:b/>
                <w:sz w:val="20"/>
                <w:szCs w:val="20"/>
              </w:rPr>
            </w:pPr>
            <w:r w:rsidRPr="00464166">
              <w:rPr>
                <w:b/>
                <w:sz w:val="20"/>
                <w:szCs w:val="20"/>
              </w:rPr>
              <w:t>1. Relevanz (Zweckmäßigkeit) des Projekts</w:t>
            </w:r>
          </w:p>
        </w:tc>
      </w:tr>
      <w:tr w:rsidR="00187BB2" w:rsidRPr="00464166" w14:paraId="0DD3AADD" w14:textId="77777777" w:rsidTr="00187BB2">
        <w:trPr>
          <w:trHeight w:val="64"/>
          <w:jc w:val="center"/>
        </w:trPr>
        <w:tc>
          <w:tcPr>
            <w:tcW w:w="9498" w:type="dxa"/>
            <w:tcBorders>
              <w:left w:val="single" w:sz="4" w:space="0" w:color="000000"/>
              <w:bottom w:val="single" w:sz="4" w:space="0" w:color="000000"/>
              <w:right w:val="single" w:sz="4" w:space="0" w:color="000000"/>
            </w:tcBorders>
          </w:tcPr>
          <w:p w14:paraId="32053BC0" w14:textId="6516E356" w:rsidR="00187BB2" w:rsidRPr="00464166" w:rsidRDefault="00FD4D02" w:rsidP="00A06DB6">
            <w:pPr>
              <w:snapToGrid w:val="0"/>
              <w:spacing w:before="40" w:after="40"/>
              <w:rPr>
                <w:sz w:val="20"/>
                <w:szCs w:val="20"/>
              </w:rPr>
            </w:pPr>
            <w:r w:rsidRPr="00464166">
              <w:rPr>
                <w:sz w:val="20"/>
                <w:szCs w:val="20"/>
              </w:rPr>
              <w:t xml:space="preserve">Das Projekt geht eine grosse und wichtige Herausforderung (dem nachhaltigen Management der Wasserressourcen) an in einem Gebiet, wo viele globale Tendenzen exemplarisch sichtbar werden und besonders akzentuiert sind. </w:t>
            </w:r>
          </w:p>
          <w:p w14:paraId="61301CF4" w14:textId="63AF901D" w:rsidR="00A06DB6" w:rsidRPr="00464166" w:rsidRDefault="00A06DB6" w:rsidP="00A06DB6">
            <w:pPr>
              <w:snapToGrid w:val="0"/>
              <w:spacing w:before="40" w:after="40"/>
              <w:rPr>
                <w:sz w:val="20"/>
                <w:szCs w:val="20"/>
              </w:rPr>
            </w:pPr>
            <w:r w:rsidRPr="00464166">
              <w:rPr>
                <w:sz w:val="20"/>
                <w:szCs w:val="20"/>
              </w:rPr>
              <w:t>Der Ansatz des Projektes (Fokus auf Recht auf Zugang zu Wasser, Stärkung der Mechanismen zum Schutz und Management der Wasserressource, Ausbildungen in rechtlichen und landwirtschaftlichen Themen, Stärkung der Marktmechanismen im Bereich der Agrarökologie, Beobachtung und Kommunikation von Trends bezüglich der Wasser</w:t>
            </w:r>
            <w:r w:rsidR="009B0E99" w:rsidRPr="00464166">
              <w:rPr>
                <w:sz w:val="20"/>
                <w:szCs w:val="20"/>
              </w:rPr>
              <w:t>r</w:t>
            </w:r>
            <w:r w:rsidRPr="00464166">
              <w:rPr>
                <w:sz w:val="20"/>
                <w:szCs w:val="20"/>
              </w:rPr>
              <w:t>essourcen) scheint mir zweckmässig.</w:t>
            </w:r>
          </w:p>
        </w:tc>
      </w:tr>
      <w:tr w:rsidR="00187BB2" w:rsidRPr="00464166" w14:paraId="3EA404B5"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0C4E9B2F" w14:textId="4C260388" w:rsidR="00187BB2" w:rsidRPr="00464166" w:rsidRDefault="00187BB2" w:rsidP="009C390A">
            <w:pPr>
              <w:tabs>
                <w:tab w:val="left" w:pos="2393"/>
              </w:tabs>
              <w:snapToGrid w:val="0"/>
              <w:spacing w:before="40" w:after="40"/>
              <w:rPr>
                <w:b/>
                <w:sz w:val="20"/>
                <w:szCs w:val="20"/>
              </w:rPr>
            </w:pPr>
            <w:r w:rsidRPr="00464166">
              <w:rPr>
                <w:b/>
                <w:sz w:val="20"/>
                <w:szCs w:val="20"/>
              </w:rPr>
              <w:t xml:space="preserve">2. Sind die Ziele (und Indikatoren) SMART? </w:t>
            </w:r>
            <w:r w:rsidRPr="00464166">
              <w:rPr>
                <w:sz w:val="20"/>
                <w:szCs w:val="20"/>
              </w:rPr>
              <w:t>(</w:t>
            </w:r>
            <w:r w:rsidRPr="00464166">
              <w:rPr>
                <w:sz w:val="20"/>
                <w:szCs w:val="20"/>
                <w:u w:val="single"/>
              </w:rPr>
              <w:t>S</w:t>
            </w:r>
            <w:r w:rsidRPr="00464166">
              <w:rPr>
                <w:sz w:val="20"/>
                <w:szCs w:val="20"/>
              </w:rPr>
              <w:t xml:space="preserve">pezifisch, </w:t>
            </w:r>
            <w:r w:rsidRPr="00464166">
              <w:rPr>
                <w:sz w:val="20"/>
                <w:szCs w:val="20"/>
                <w:u w:val="single"/>
              </w:rPr>
              <w:t>M</w:t>
            </w:r>
            <w:r w:rsidRPr="00464166">
              <w:rPr>
                <w:sz w:val="20"/>
                <w:szCs w:val="20"/>
              </w:rPr>
              <w:t xml:space="preserve">essbar, </w:t>
            </w:r>
            <w:r w:rsidRPr="00464166">
              <w:rPr>
                <w:sz w:val="20"/>
                <w:szCs w:val="20"/>
                <w:u w:val="single"/>
              </w:rPr>
              <w:t>A</w:t>
            </w:r>
            <w:r w:rsidRPr="00464166">
              <w:rPr>
                <w:sz w:val="20"/>
                <w:szCs w:val="20"/>
              </w:rPr>
              <w:t xml:space="preserve">ngemessen, </w:t>
            </w:r>
            <w:r w:rsidRPr="00464166">
              <w:rPr>
                <w:sz w:val="20"/>
                <w:szCs w:val="20"/>
                <w:u w:val="single"/>
              </w:rPr>
              <w:t>R</w:t>
            </w:r>
            <w:r w:rsidRPr="00464166">
              <w:rPr>
                <w:sz w:val="20"/>
                <w:szCs w:val="20"/>
              </w:rPr>
              <w:t xml:space="preserve">elevant, </w:t>
            </w:r>
            <w:r w:rsidRPr="00464166">
              <w:rPr>
                <w:sz w:val="20"/>
                <w:szCs w:val="20"/>
                <w:u w:val="single"/>
              </w:rPr>
              <w:t>T</w:t>
            </w:r>
            <w:r w:rsidRPr="00464166">
              <w:rPr>
                <w:sz w:val="20"/>
                <w:szCs w:val="20"/>
              </w:rPr>
              <w:t>erminiert)</w:t>
            </w:r>
          </w:p>
        </w:tc>
      </w:tr>
      <w:tr w:rsidR="00187BB2" w:rsidRPr="00464166" w14:paraId="3F8E38A9" w14:textId="77777777" w:rsidTr="00187BB2">
        <w:trPr>
          <w:trHeight w:val="64"/>
          <w:jc w:val="center"/>
        </w:trPr>
        <w:tc>
          <w:tcPr>
            <w:tcW w:w="9498" w:type="dxa"/>
            <w:tcBorders>
              <w:left w:val="single" w:sz="4" w:space="0" w:color="000000"/>
              <w:bottom w:val="single" w:sz="4" w:space="0" w:color="000000"/>
              <w:right w:val="single" w:sz="4" w:space="0" w:color="000000"/>
            </w:tcBorders>
          </w:tcPr>
          <w:p w14:paraId="78E335A7" w14:textId="7C442A2A" w:rsidR="00187BB2" w:rsidRPr="00464166" w:rsidRDefault="00FD4D02" w:rsidP="009C390A">
            <w:pPr>
              <w:spacing w:before="40" w:after="40"/>
              <w:rPr>
                <w:sz w:val="20"/>
                <w:szCs w:val="20"/>
              </w:rPr>
            </w:pPr>
            <w:r w:rsidRPr="00464166">
              <w:rPr>
                <w:sz w:val="20"/>
                <w:szCs w:val="20"/>
              </w:rPr>
              <w:t>Die Indikatoren zum Outcome 1 sind z.T. nicht spezifisch und schwer messbar. Der Indikator zum Outcome 2 («Prozentzahl der Personen, die eine Änderung ihres Einkommens melden») ist unklar definiert, und weder spezifisch noch terminiert. Es braucht entweder eine Vergleichsgruppe oder eine Vor- und Nach</w:t>
            </w:r>
            <w:r w:rsidR="00464166" w:rsidRPr="00464166">
              <w:rPr>
                <w:sz w:val="20"/>
                <w:szCs w:val="20"/>
              </w:rPr>
              <w:t>erhebung</w:t>
            </w:r>
            <w:r w:rsidRPr="00464166">
              <w:rPr>
                <w:sz w:val="20"/>
                <w:szCs w:val="20"/>
              </w:rPr>
              <w:t>, und die Veränderung im Einkommen muss mit dem Projekt in Verbdingung stehen. Hier ist es wichtig, dass es in der Bericht</w:t>
            </w:r>
            <w:r w:rsidR="00464166" w:rsidRPr="00464166">
              <w:rPr>
                <w:sz w:val="20"/>
                <w:szCs w:val="20"/>
              </w:rPr>
              <w:t>-</w:t>
            </w:r>
            <w:r w:rsidRPr="00464166">
              <w:rPr>
                <w:sz w:val="20"/>
                <w:szCs w:val="20"/>
              </w:rPr>
              <w:t>erstattung Hinweise auf eine solche Wirkung gibt.</w:t>
            </w:r>
          </w:p>
        </w:tc>
      </w:tr>
      <w:tr w:rsidR="00187BB2" w:rsidRPr="00464166" w14:paraId="5025A629" w14:textId="77777777" w:rsidTr="00187BB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14:paraId="4E2081F0" w14:textId="77777777" w:rsidR="00187BB2" w:rsidRPr="00464166" w:rsidRDefault="00187BB2" w:rsidP="009C390A">
            <w:pPr>
              <w:tabs>
                <w:tab w:val="left" w:pos="2592"/>
              </w:tabs>
              <w:snapToGrid w:val="0"/>
              <w:spacing w:before="40" w:after="40"/>
              <w:rPr>
                <w:b/>
                <w:sz w:val="20"/>
                <w:szCs w:val="20"/>
              </w:rPr>
            </w:pPr>
            <w:r w:rsidRPr="00464166">
              <w:rPr>
                <w:b/>
                <w:sz w:val="20"/>
                <w:szCs w:val="20"/>
              </w:rPr>
              <w:t>3. Vorgeschlagene Ansätze (Umsetzung)</w:t>
            </w:r>
          </w:p>
        </w:tc>
      </w:tr>
      <w:tr w:rsidR="00187BB2" w:rsidRPr="00464166" w14:paraId="1F06E6CA" w14:textId="77777777" w:rsidTr="00187BB2">
        <w:trPr>
          <w:jc w:val="center"/>
        </w:trPr>
        <w:tc>
          <w:tcPr>
            <w:tcW w:w="9498" w:type="dxa"/>
            <w:tcBorders>
              <w:left w:val="single" w:sz="4" w:space="0" w:color="000000"/>
              <w:bottom w:val="single" w:sz="4" w:space="0" w:color="000000"/>
              <w:right w:val="single" w:sz="4" w:space="0" w:color="000000"/>
            </w:tcBorders>
          </w:tcPr>
          <w:p w14:paraId="19DBC450" w14:textId="38C7F5E9" w:rsidR="00187BB2" w:rsidRPr="00464166" w:rsidRDefault="00A06DB6" w:rsidP="009C390A">
            <w:pPr>
              <w:snapToGrid w:val="0"/>
              <w:spacing w:before="40" w:after="40"/>
              <w:rPr>
                <w:sz w:val="20"/>
                <w:szCs w:val="20"/>
              </w:rPr>
            </w:pPr>
            <w:r w:rsidRPr="00464166">
              <w:rPr>
                <w:sz w:val="20"/>
                <w:szCs w:val="20"/>
              </w:rPr>
              <w:t xml:space="preserve">Im Gegensatz zu «klassischen» Trinkwasserprojekten geht es hier um einen ganzheitlicheren Ansatz zum Schutz der Wasserressourcen, inklusive einen besseren Schutz der Quellen. Das Projektdokument zeigt klar auf, wie dies bewerkstelligt werden soll. Der Zusammenhang zum «Zugang zu Wasser» ist zwar nur indirekt und es ist nicht klar, wie dieser gemessen wird, aber er ist plausibel, ebenso wie eine positive Auswirkung auf die Qualität des Trinkwassers bei vermehrter Anwendung von agrar-ökologischen Methoden. </w:t>
            </w:r>
            <w:r w:rsidR="00464166">
              <w:rPr>
                <w:sz w:val="20"/>
                <w:szCs w:val="20"/>
              </w:rPr>
              <w:t xml:space="preserve"> </w:t>
            </w:r>
            <w:r w:rsidR="00AA2880" w:rsidRPr="00464166">
              <w:rPr>
                <w:sz w:val="20"/>
                <w:szCs w:val="20"/>
              </w:rPr>
              <w:t>Zum menschenrecht-basierten Aspekt des Projektes wird nicht klar, wie das bessere Wissen um die Rechte dann auch in die Praxis umgesetzt werden kann – hier sollte bei Projektevaluationen und -berichten weitere Informationen gesammelt und dokumentiert werden.</w:t>
            </w:r>
          </w:p>
        </w:tc>
      </w:tr>
      <w:tr w:rsidR="00187BB2" w:rsidRPr="00464166" w14:paraId="6A2E47F1"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66D08FEC" w14:textId="77777777" w:rsidR="00187BB2" w:rsidRPr="00464166" w:rsidRDefault="00187BB2" w:rsidP="009C390A">
            <w:pPr>
              <w:snapToGrid w:val="0"/>
              <w:spacing w:before="40" w:after="40"/>
              <w:rPr>
                <w:b/>
                <w:sz w:val="20"/>
                <w:szCs w:val="20"/>
              </w:rPr>
            </w:pPr>
            <w:r w:rsidRPr="00464166">
              <w:rPr>
                <w:b/>
                <w:sz w:val="20"/>
                <w:szCs w:val="20"/>
              </w:rPr>
              <w:t>4. Erwartete Ergebnisse und ihre voraussichtliche Nachhaltigkeit</w:t>
            </w:r>
          </w:p>
        </w:tc>
      </w:tr>
      <w:tr w:rsidR="00187BB2" w:rsidRPr="00464166" w14:paraId="4711F43A" w14:textId="77777777" w:rsidTr="00187BB2">
        <w:trPr>
          <w:jc w:val="center"/>
        </w:trPr>
        <w:tc>
          <w:tcPr>
            <w:tcW w:w="9498" w:type="dxa"/>
            <w:tcBorders>
              <w:left w:val="single" w:sz="4" w:space="0" w:color="000000"/>
              <w:bottom w:val="single" w:sz="4" w:space="0" w:color="000000"/>
              <w:right w:val="single" w:sz="4" w:space="0" w:color="000000"/>
            </w:tcBorders>
          </w:tcPr>
          <w:p w14:paraId="30DDC66C" w14:textId="3CB52441" w:rsidR="00187BB2" w:rsidRPr="00464166" w:rsidRDefault="00AA2880" w:rsidP="00D33AE7">
            <w:pPr>
              <w:snapToGrid w:val="0"/>
              <w:spacing w:before="40" w:after="40"/>
              <w:rPr>
                <w:sz w:val="20"/>
                <w:szCs w:val="20"/>
              </w:rPr>
            </w:pPr>
            <w:r w:rsidRPr="00464166">
              <w:rPr>
                <w:sz w:val="20"/>
                <w:szCs w:val="20"/>
              </w:rPr>
              <w:t xml:space="preserve">Der erwarteten Ergebnisse sind in Form von </w:t>
            </w:r>
            <w:r w:rsidR="00D33AE7" w:rsidRPr="00464166">
              <w:rPr>
                <w:sz w:val="20"/>
                <w:szCs w:val="20"/>
              </w:rPr>
              <w:t xml:space="preserve">zwei </w:t>
            </w:r>
            <w:r w:rsidRPr="00464166">
              <w:rPr>
                <w:sz w:val="20"/>
                <w:szCs w:val="20"/>
              </w:rPr>
              <w:t xml:space="preserve">Outcomes klar beschrieben. Beide Ergebnisse sind realistisch und angemessen. Sie zielen auf eine breite Wirkung der Aktivitäten ab und legen damit eine gute Basis für eine nachhaltige Wirkung. </w:t>
            </w:r>
            <w:r w:rsidR="009B0E99" w:rsidRPr="00464166">
              <w:rPr>
                <w:sz w:val="20"/>
                <w:szCs w:val="20"/>
              </w:rPr>
              <w:t xml:space="preserve">Der starke Fokus auf kleinbäuerliche Familien ist eine Stärke, ebenfalls der breite Ansatz und die Betonung der rechtlichen Aspekte. </w:t>
            </w:r>
            <w:r w:rsidRPr="00464166">
              <w:rPr>
                <w:sz w:val="20"/>
                <w:szCs w:val="20"/>
              </w:rPr>
              <w:t>Allerdings sind im aktuellen Kontext die Herausforderungen bezüglich Landwirtschaftspraktiken, Ressourcenmanagement, Wald</w:t>
            </w:r>
            <w:r w:rsidR="00464166">
              <w:rPr>
                <w:sz w:val="20"/>
                <w:szCs w:val="20"/>
              </w:rPr>
              <w:t>-</w:t>
            </w:r>
            <w:r w:rsidRPr="00464166">
              <w:rPr>
                <w:sz w:val="20"/>
                <w:szCs w:val="20"/>
              </w:rPr>
              <w:t>management, etc. gross und es gibt starke Kräfte, die in eine andere Richtung zielen als das Projekt. Nichtsdestotrotz scheinen mir die Voraussetzungen für eine nachhaltige Wirkung gegeben, insbeson</w:t>
            </w:r>
            <w:r w:rsidR="00464166">
              <w:rPr>
                <w:sz w:val="20"/>
                <w:szCs w:val="20"/>
              </w:rPr>
              <w:t>-</w:t>
            </w:r>
            <w:r w:rsidRPr="00464166">
              <w:rPr>
                <w:sz w:val="20"/>
                <w:szCs w:val="20"/>
              </w:rPr>
              <w:t xml:space="preserve">dere durch die langjährige Vorarbeit und die Zusammenarbeit mit vielen lokalen Partnerorganisationen.  </w:t>
            </w:r>
          </w:p>
        </w:tc>
      </w:tr>
      <w:tr w:rsidR="00187BB2" w:rsidRPr="00464166" w14:paraId="3E11D9F2"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16D32A7E" w14:textId="77777777" w:rsidR="00187BB2" w:rsidRPr="00464166" w:rsidRDefault="00187BB2" w:rsidP="009C390A">
            <w:pPr>
              <w:snapToGrid w:val="0"/>
              <w:spacing w:before="40" w:after="40"/>
              <w:rPr>
                <w:b/>
                <w:sz w:val="20"/>
                <w:szCs w:val="20"/>
              </w:rPr>
            </w:pPr>
            <w:r w:rsidRPr="00464166">
              <w:rPr>
                <w:b/>
                <w:sz w:val="20"/>
                <w:szCs w:val="20"/>
              </w:rPr>
              <w:t>5. Risiken und ihre Milderung</w:t>
            </w:r>
          </w:p>
        </w:tc>
      </w:tr>
      <w:tr w:rsidR="00187BB2" w:rsidRPr="00464166" w14:paraId="5DA01334" w14:textId="77777777" w:rsidTr="00187BB2">
        <w:trPr>
          <w:jc w:val="center"/>
        </w:trPr>
        <w:tc>
          <w:tcPr>
            <w:tcW w:w="9498" w:type="dxa"/>
            <w:tcBorders>
              <w:left w:val="single" w:sz="4" w:space="0" w:color="000000"/>
              <w:bottom w:val="single" w:sz="4" w:space="0" w:color="000000"/>
              <w:right w:val="single" w:sz="4" w:space="0" w:color="000000"/>
            </w:tcBorders>
          </w:tcPr>
          <w:p w14:paraId="29D4A3E3" w14:textId="613882AC" w:rsidR="00187BB2" w:rsidRPr="00464166" w:rsidRDefault="009B0E99" w:rsidP="009C390A">
            <w:pPr>
              <w:snapToGrid w:val="0"/>
              <w:spacing w:before="40" w:after="40"/>
              <w:rPr>
                <w:sz w:val="20"/>
                <w:szCs w:val="20"/>
              </w:rPr>
            </w:pPr>
            <w:r w:rsidRPr="00464166">
              <w:rPr>
                <w:sz w:val="20"/>
                <w:szCs w:val="20"/>
              </w:rPr>
              <w:t xml:space="preserve">Nur wenige Risken werden aufgelistet und sie wurden nicht gewichtet. Die Massnahmen zu deren Minderung sind entsprechend vage und eng. Ich empfehle eine vertiefte Risikoanalyse und deren Management während der Projektumsetzung. </w:t>
            </w:r>
          </w:p>
        </w:tc>
      </w:tr>
      <w:tr w:rsidR="00187BB2" w:rsidRPr="00464166" w14:paraId="63BE482D"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610DA6A1" w14:textId="77777777" w:rsidR="00187BB2" w:rsidRPr="00464166" w:rsidRDefault="00187BB2" w:rsidP="009C390A">
            <w:pPr>
              <w:snapToGrid w:val="0"/>
              <w:spacing w:before="40" w:after="40"/>
              <w:rPr>
                <w:b/>
                <w:sz w:val="20"/>
                <w:szCs w:val="20"/>
              </w:rPr>
            </w:pPr>
            <w:r w:rsidRPr="00464166">
              <w:rPr>
                <w:b/>
                <w:sz w:val="20"/>
                <w:szCs w:val="20"/>
              </w:rPr>
              <w:t>6. Verhältnis zwischen Inputs und Outputs</w:t>
            </w:r>
          </w:p>
        </w:tc>
      </w:tr>
      <w:tr w:rsidR="00187BB2" w:rsidRPr="00464166" w14:paraId="11A9B803" w14:textId="77777777" w:rsidTr="00187BB2">
        <w:trPr>
          <w:jc w:val="center"/>
        </w:trPr>
        <w:tc>
          <w:tcPr>
            <w:tcW w:w="9498" w:type="dxa"/>
            <w:tcBorders>
              <w:left w:val="single" w:sz="4" w:space="0" w:color="000000"/>
              <w:bottom w:val="single" w:sz="4" w:space="0" w:color="000000"/>
              <w:right w:val="single" w:sz="4" w:space="0" w:color="000000"/>
            </w:tcBorders>
          </w:tcPr>
          <w:p w14:paraId="5DEE1508" w14:textId="173A63B2" w:rsidR="00187BB2" w:rsidRPr="00464166" w:rsidRDefault="009B0E99" w:rsidP="00D33AE7">
            <w:pPr>
              <w:snapToGrid w:val="0"/>
              <w:spacing w:before="40" w:after="40"/>
              <w:rPr>
                <w:sz w:val="20"/>
                <w:szCs w:val="20"/>
              </w:rPr>
            </w:pPr>
            <w:r w:rsidRPr="00464166">
              <w:rPr>
                <w:sz w:val="20"/>
                <w:szCs w:val="20"/>
              </w:rPr>
              <w:t>Das Verhältnis zwischen Kosten und Wirkung scheint mir angemessen – allerdings lässt sich das Projekt schlecht mir Projekten der direkten Wasserversorgung vergleichen. Die absoluten Overheadkosten in der Schweiz (</w:t>
            </w:r>
            <w:r w:rsidR="00D33AE7" w:rsidRPr="00464166">
              <w:rPr>
                <w:sz w:val="20"/>
                <w:szCs w:val="20"/>
              </w:rPr>
              <w:t>51'618) scheinen mir eher hoch, insbesondere da eine aktive Rolle von HEKS-Mit</w:t>
            </w:r>
            <w:r w:rsidR="00464166">
              <w:rPr>
                <w:sz w:val="20"/>
                <w:szCs w:val="20"/>
              </w:rPr>
              <w:t>-</w:t>
            </w:r>
            <w:r w:rsidR="00D33AE7" w:rsidRPr="00464166">
              <w:rPr>
                <w:sz w:val="20"/>
                <w:szCs w:val="20"/>
              </w:rPr>
              <w:t xml:space="preserve">arbeitenden in Brasilien erwähnt sind. Sie sind aber noch innerhalb der prozentualen Richtlinie von 15%. </w:t>
            </w:r>
          </w:p>
        </w:tc>
      </w:tr>
      <w:tr w:rsidR="00187BB2" w:rsidRPr="00464166" w14:paraId="5983A5DC"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37051857" w14:textId="77777777" w:rsidR="00187BB2" w:rsidRPr="00464166" w:rsidRDefault="00187BB2" w:rsidP="009C390A">
            <w:pPr>
              <w:snapToGrid w:val="0"/>
              <w:spacing w:before="40" w:after="40"/>
              <w:rPr>
                <w:b/>
                <w:sz w:val="20"/>
                <w:szCs w:val="20"/>
              </w:rPr>
            </w:pPr>
            <w:r w:rsidRPr="00464166">
              <w:rPr>
                <w:b/>
                <w:sz w:val="20"/>
                <w:szCs w:val="20"/>
              </w:rPr>
              <w:t>7. Bemerkungen</w:t>
            </w:r>
          </w:p>
        </w:tc>
      </w:tr>
      <w:tr w:rsidR="00187BB2" w:rsidRPr="00464166" w14:paraId="4B5CE98A" w14:textId="77777777" w:rsidTr="00187BB2">
        <w:trPr>
          <w:jc w:val="center"/>
        </w:trPr>
        <w:tc>
          <w:tcPr>
            <w:tcW w:w="9498" w:type="dxa"/>
            <w:tcBorders>
              <w:left w:val="single" w:sz="4" w:space="0" w:color="000000"/>
              <w:bottom w:val="single" w:sz="4" w:space="0" w:color="000000"/>
              <w:right w:val="single" w:sz="4" w:space="0" w:color="000000"/>
            </w:tcBorders>
          </w:tcPr>
          <w:p w14:paraId="18E60510" w14:textId="24301EB6" w:rsidR="00187BB2" w:rsidRPr="00464166" w:rsidRDefault="00D33AE7" w:rsidP="009C390A">
            <w:pPr>
              <w:pStyle w:val="Textkrper2"/>
              <w:spacing w:before="40" w:after="40"/>
              <w:rPr>
                <w:szCs w:val="20"/>
              </w:rPr>
            </w:pPr>
            <w:r w:rsidRPr="00464166">
              <w:rPr>
                <w:szCs w:val="20"/>
              </w:rPr>
              <w:t xml:space="preserve">Es handelt sich um die Fortsetzung </w:t>
            </w:r>
            <w:r w:rsidR="00464166" w:rsidRPr="00464166">
              <w:rPr>
                <w:szCs w:val="20"/>
              </w:rPr>
              <w:t>eines bestehenden Projektes</w:t>
            </w:r>
            <w:r w:rsidRPr="00464166">
              <w:rPr>
                <w:szCs w:val="20"/>
              </w:rPr>
              <w:t>, was positiv zu bewerten ist.</w:t>
            </w:r>
          </w:p>
        </w:tc>
      </w:tr>
      <w:tr w:rsidR="00187BB2" w:rsidRPr="00464166" w14:paraId="0B370013" w14:textId="77777777" w:rsidTr="00187BB2">
        <w:trPr>
          <w:jc w:val="center"/>
        </w:trPr>
        <w:tc>
          <w:tcPr>
            <w:tcW w:w="9498" w:type="dxa"/>
            <w:tcBorders>
              <w:left w:val="single" w:sz="4" w:space="0" w:color="000000"/>
              <w:bottom w:val="single" w:sz="4" w:space="0" w:color="000000"/>
              <w:right w:val="single" w:sz="4" w:space="0" w:color="000000"/>
            </w:tcBorders>
            <w:shd w:val="clear" w:color="auto" w:fill="F3F3F3"/>
          </w:tcPr>
          <w:p w14:paraId="46782BD9" w14:textId="77777777" w:rsidR="00187BB2" w:rsidRPr="00464166" w:rsidRDefault="00187BB2" w:rsidP="009C390A">
            <w:pPr>
              <w:snapToGrid w:val="0"/>
              <w:spacing w:before="40" w:after="40"/>
              <w:rPr>
                <w:b/>
                <w:sz w:val="20"/>
                <w:szCs w:val="20"/>
              </w:rPr>
            </w:pPr>
            <w:r w:rsidRPr="00464166">
              <w:rPr>
                <w:b/>
                <w:sz w:val="20"/>
                <w:szCs w:val="20"/>
              </w:rPr>
              <w:t>Datum, Verfasser der Zweitmeinung und Kontaktdetails</w:t>
            </w:r>
          </w:p>
        </w:tc>
      </w:tr>
      <w:tr w:rsidR="00187BB2" w:rsidRPr="00464166" w14:paraId="12BC9673" w14:textId="77777777" w:rsidTr="00187BB2">
        <w:trPr>
          <w:cantSplit/>
          <w:jc w:val="center"/>
        </w:trPr>
        <w:tc>
          <w:tcPr>
            <w:tcW w:w="9498" w:type="dxa"/>
            <w:tcBorders>
              <w:left w:val="single" w:sz="4" w:space="0" w:color="000000"/>
              <w:bottom w:val="single" w:sz="4" w:space="0" w:color="000000"/>
              <w:right w:val="single" w:sz="4" w:space="0" w:color="000000"/>
            </w:tcBorders>
          </w:tcPr>
          <w:p w14:paraId="256AF16D" w14:textId="7AC4EFF6" w:rsidR="00187BB2" w:rsidRPr="00464166" w:rsidRDefault="00D33AE7" w:rsidP="009C390A">
            <w:pPr>
              <w:snapToGrid w:val="0"/>
              <w:spacing w:before="40" w:after="40"/>
              <w:rPr>
                <w:sz w:val="20"/>
                <w:szCs w:val="20"/>
              </w:rPr>
            </w:pPr>
            <w:r w:rsidRPr="00464166">
              <w:rPr>
                <w:sz w:val="20"/>
                <w:szCs w:val="20"/>
              </w:rPr>
              <w:t xml:space="preserve">12.05.2023, Matthias Saladin, Skat Foundation, </w:t>
            </w:r>
            <w:hyperlink r:id="rId11" w:history="1">
              <w:r w:rsidRPr="00464166">
                <w:rPr>
                  <w:rStyle w:val="Hyperlink"/>
                  <w:sz w:val="20"/>
                  <w:szCs w:val="20"/>
                </w:rPr>
                <w:t>matthias.saladin@skat-foundation.ch</w:t>
              </w:r>
            </w:hyperlink>
            <w:r w:rsidRPr="00464166">
              <w:rPr>
                <w:sz w:val="20"/>
                <w:szCs w:val="20"/>
              </w:rPr>
              <w:t xml:space="preserve">. </w:t>
            </w:r>
          </w:p>
        </w:tc>
      </w:tr>
    </w:tbl>
    <w:p w14:paraId="22899E08" w14:textId="77777777" w:rsidR="00633824" w:rsidRPr="00187BB2" w:rsidRDefault="00633824">
      <w:pPr>
        <w:pStyle w:val="Liste"/>
        <w:spacing w:before="120" w:after="40"/>
        <w:jc w:val="right"/>
        <w:rPr>
          <w:sz w:val="2"/>
        </w:rPr>
      </w:pPr>
    </w:p>
    <w:sectPr w:rsidR="00633824" w:rsidRPr="00187BB2" w:rsidSect="00F369C5">
      <w:headerReference w:type="default" r:id="rId12"/>
      <w:footerReference w:type="default" r:id="rId13"/>
      <w:footnotePr>
        <w:pos w:val="beneathText"/>
      </w:footnotePr>
      <w:pgSz w:w="11900" w:h="16837"/>
      <w:pgMar w:top="851" w:right="1134" w:bottom="851" w:left="1134" w:header="709"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82CF" w14:textId="77777777" w:rsidR="007D66FB" w:rsidRDefault="007D66FB">
      <w:r>
        <w:separator/>
      </w:r>
    </w:p>
  </w:endnote>
  <w:endnote w:type="continuationSeparator" w:id="0">
    <w:p w14:paraId="06408787" w14:textId="77777777" w:rsidR="007D66FB" w:rsidRDefault="007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C05" w14:textId="77777777" w:rsidR="00633824" w:rsidRDefault="00633824">
    <w:pPr>
      <w:pStyle w:val="Fuzeile"/>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12F1" w14:textId="77777777" w:rsidR="007D66FB" w:rsidRDefault="007D66FB">
      <w:r>
        <w:separator/>
      </w:r>
    </w:p>
  </w:footnote>
  <w:footnote w:type="continuationSeparator" w:id="0">
    <w:p w14:paraId="32F5BC7A" w14:textId="77777777" w:rsidR="007D66FB" w:rsidRDefault="007D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A6ED" w14:textId="77777777" w:rsidR="00633824" w:rsidRDefault="00633824" w:rsidP="00BC6065">
    <w:pPr>
      <w:pStyle w:val="Kopfzeile"/>
      <w:tabs>
        <w:tab w:val="clear" w:pos="4536"/>
        <w:tab w:val="clear" w:pos="9072"/>
        <w:tab w:val="right" w:pos="9632"/>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1886284165">
    <w:abstractNumId w:val="0"/>
  </w:num>
  <w:num w:numId="2" w16cid:durableId="1550141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de-CH" w:vendorID="64" w:dllVersion="6" w:nlCheck="1" w:checkStyle="0"/>
  <w:activeWritingStyle w:appName="MSWord" w:lang="de-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FC"/>
    <w:rsid w:val="000B0A6E"/>
    <w:rsid w:val="00180D6E"/>
    <w:rsid w:val="00187BB2"/>
    <w:rsid w:val="001C7012"/>
    <w:rsid w:val="0022357E"/>
    <w:rsid w:val="00254C3C"/>
    <w:rsid w:val="002D0B8E"/>
    <w:rsid w:val="00376FC6"/>
    <w:rsid w:val="00464166"/>
    <w:rsid w:val="0047060C"/>
    <w:rsid w:val="00506B8B"/>
    <w:rsid w:val="00560711"/>
    <w:rsid w:val="00576201"/>
    <w:rsid w:val="00584FFC"/>
    <w:rsid w:val="005A24DF"/>
    <w:rsid w:val="00633824"/>
    <w:rsid w:val="0066388A"/>
    <w:rsid w:val="006E47BC"/>
    <w:rsid w:val="007745FC"/>
    <w:rsid w:val="007B55DC"/>
    <w:rsid w:val="007D66FB"/>
    <w:rsid w:val="008E5DC5"/>
    <w:rsid w:val="009B0E99"/>
    <w:rsid w:val="00A06DB6"/>
    <w:rsid w:val="00A22EE2"/>
    <w:rsid w:val="00A74B30"/>
    <w:rsid w:val="00A80FFB"/>
    <w:rsid w:val="00AA2880"/>
    <w:rsid w:val="00AD62D7"/>
    <w:rsid w:val="00B26EAC"/>
    <w:rsid w:val="00BC6065"/>
    <w:rsid w:val="00C06B6B"/>
    <w:rsid w:val="00D33AE7"/>
    <w:rsid w:val="00D52C36"/>
    <w:rsid w:val="00E03BD5"/>
    <w:rsid w:val="00E4443B"/>
    <w:rsid w:val="00E45D70"/>
    <w:rsid w:val="00E75DF3"/>
    <w:rsid w:val="00E97CD3"/>
    <w:rsid w:val="00F369C5"/>
    <w:rsid w:val="00F60952"/>
    <w:rsid w:val="00F84BA2"/>
    <w:rsid w:val="00FB5056"/>
    <w:rsid w:val="00FD4D02"/>
    <w:rsid w:val="00FE62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6D37DA"/>
  <w15:chartTrackingRefBased/>
  <w15:docId w15:val="{270C13EF-A5A7-48A7-9B94-26B420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spacing w:before="120"/>
    </w:pPr>
    <w:rPr>
      <w:rFonts w:ascii="Arial" w:hAnsi="Arial"/>
      <w:sz w:val="22"/>
      <w:szCs w:val="22"/>
      <w:lang w:eastAsia="ar-SA"/>
    </w:rPr>
  </w:style>
  <w:style w:type="paragraph" w:styleId="berschrift1">
    <w:name w:val="heading 1"/>
    <w:basedOn w:val="Standard"/>
    <w:next w:val="Standard"/>
    <w:qFormat/>
    <w:pPr>
      <w:keepNext/>
      <w:spacing w:before="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Standard"/>
    <w:next w:val="Textkrper"/>
    <w:pPr>
      <w:keepNext/>
      <w:spacing w:before="240" w:after="120"/>
    </w:pPr>
    <w:rPr>
      <w:rFonts w:eastAsia="Lucida Sans Unicode" w:cs="Tahoma"/>
      <w:sz w:val="28"/>
      <w:szCs w:val="28"/>
    </w:rPr>
  </w:style>
  <w:style w:type="paragraph" w:styleId="Textkrper">
    <w:name w:val="Body Text"/>
    <w:basedOn w:val="Standard"/>
    <w:pPr>
      <w:spacing w:before="0" w:after="120"/>
    </w:pPr>
  </w:style>
  <w:style w:type="paragraph" w:styleId="Liste">
    <w:name w:val="List"/>
    <w:basedOn w:val="Textkrper"/>
    <w:rPr>
      <w:rFonts w:cs="Tahoma"/>
    </w:rPr>
  </w:style>
  <w:style w:type="paragraph" w:customStyle="1" w:styleId="Caption1">
    <w:name w:val="Caption1"/>
    <w:basedOn w:val="Standard"/>
    <w:pPr>
      <w:suppressLineNumbers/>
      <w:spacing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berschrift4">
    <w:name w:val="Überschrift_4"/>
    <w:basedOn w:val="Standard"/>
    <w:pPr>
      <w:spacing w:before="200"/>
    </w:pPr>
    <w:rPr>
      <w:b/>
      <w:szCs w:val="18"/>
      <w:lang w:val="de-DE"/>
    </w:rPr>
  </w:style>
  <w:style w:type="paragraph" w:customStyle="1" w:styleId="kastentext">
    <w:name w:val="kastentext"/>
    <w:basedOn w:val="Standard"/>
    <w:rPr>
      <w:i/>
      <w:sz w:val="16"/>
      <w:szCs w:val="18"/>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yperlink">
    <w:name w:val="Hyperlink"/>
    <w:rPr>
      <w:color w:val="0000FF"/>
      <w:u w:val="single"/>
    </w:rPr>
  </w:style>
  <w:style w:type="paragraph" w:styleId="Textkrper2">
    <w:name w:val="Body Text 2"/>
    <w:basedOn w:val="Standard"/>
    <w:pPr>
      <w:snapToGrid w:val="0"/>
      <w:spacing w:before="60" w:after="60"/>
    </w:pPr>
    <w:rPr>
      <w:sz w:val="20"/>
    </w:rPr>
  </w:style>
  <w:style w:type="paragraph" w:styleId="StandardWeb">
    <w:name w:val="Normal (Web)"/>
    <w:basedOn w:val="Standard"/>
    <w:uiPriority w:val="99"/>
    <w:unhideWhenUsed/>
    <w:rsid w:val="00BC6065"/>
    <w:pPr>
      <w:widowControl/>
      <w:suppressAutoHyphens w:val="0"/>
      <w:spacing w:before="100" w:beforeAutospacing="1" w:after="100" w:afterAutospacing="1"/>
    </w:pPr>
    <w:rPr>
      <w:rFonts w:ascii="Times New Roman" w:hAnsi="Times New Roman"/>
      <w:sz w:val="24"/>
      <w:szCs w:val="24"/>
      <w:lang w:val="fr-CH" w:eastAsia="fr-CH"/>
    </w:rPr>
  </w:style>
  <w:style w:type="table" w:styleId="Tabellenraster">
    <w:name w:val="Table Grid"/>
    <w:basedOn w:val="NormaleTabelle"/>
    <w:uiPriority w:val="39"/>
    <w:rsid w:val="00BC606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3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ias.saladin@skat-foundation.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2DD518C9DFC469D5146486D5A3BE6" ma:contentTypeVersion="11" ma:contentTypeDescription="Ein neues Dokument erstellen." ma:contentTypeScope="" ma:versionID="fd3174e881cbde3d95e13b34f125d234">
  <xsd:schema xmlns:xsd="http://www.w3.org/2001/XMLSchema" xmlns:xs="http://www.w3.org/2001/XMLSchema" xmlns:p="http://schemas.microsoft.com/office/2006/metadata/properties" xmlns:ns3="f877c65b-964c-4f43-887d-5916b70a1e76" xmlns:ns4="145c2d7c-cca3-40b5-abca-e3fd7288a2c3" targetNamespace="http://schemas.microsoft.com/office/2006/metadata/properties" ma:root="true" ma:fieldsID="33779996440923bb67492fea4b7d791c" ns3:_="" ns4:_="">
    <xsd:import namespace="f877c65b-964c-4f43-887d-5916b70a1e76"/>
    <xsd:import namespace="145c2d7c-cca3-40b5-abca-e3fd7288a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65b-964c-4f43-887d-5916b70a1e7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c2d7c-cca3-40b5-abca-e3fd7288a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5c2d7c-cca3-40b5-abca-e3fd7288a2c3" xsi:nil="true"/>
  </documentManagement>
</p:properties>
</file>

<file path=customXml/itemProps1.xml><?xml version="1.0" encoding="utf-8"?>
<ds:datastoreItem xmlns:ds="http://schemas.openxmlformats.org/officeDocument/2006/customXml" ds:itemID="{ED6E7EA4-2B1E-4924-9A77-3EB056B77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65b-964c-4f43-887d-5916b70a1e76"/>
    <ds:schemaRef ds:uri="145c2d7c-cca3-40b5-abca-e3fd7288a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67476-6734-4154-B0E4-B56A2786FADC}">
  <ds:schemaRefs>
    <ds:schemaRef ds:uri="http://schemas.microsoft.com/sharepoint/v3/contenttype/forms"/>
  </ds:schemaRefs>
</ds:datastoreItem>
</file>

<file path=customXml/itemProps3.xml><?xml version="1.0" encoding="utf-8"?>
<ds:datastoreItem xmlns:ds="http://schemas.openxmlformats.org/officeDocument/2006/customXml" ds:itemID="{9237DF7B-B4F8-434E-A217-394E68674191}">
  <ds:schemaRef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145c2d7c-cca3-40b5-abca-e3fd7288a2c3"/>
    <ds:schemaRef ds:uri="f877c65b-964c-4f43-887d-5916b70a1e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3561</Characters>
  <Application>Microsoft Office Word</Application>
  <DocSecurity>4</DocSecurity>
  <Lines>29</Lines>
  <Paragraphs>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Solidarit’Eau Suisse Aguasan 2nd opinion</vt:lpstr>
      <vt:lpstr>Solidarit’Eau Suisse Aguasan 2nd opinion</vt:lpstr>
      <vt:lpstr>Solidarit’Eau Suisse Aguasan 2nd opinion</vt:lpstr>
    </vt:vector>
  </TitlesOfParts>
  <Company>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subject/>
  <dc:creator>Roger Schmid</dc:creator>
  <cp:keywords/>
  <cp:lastModifiedBy>Selita Telli</cp:lastModifiedBy>
  <cp:revision>2</cp:revision>
  <cp:lastPrinted>2008-03-06T08:16:00Z</cp:lastPrinted>
  <dcterms:created xsi:type="dcterms:W3CDTF">2023-05-17T12:58:00Z</dcterms:created>
  <dcterms:modified xsi:type="dcterms:W3CDTF">2023-05-17T12:58:00Z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0x010100FAB2DD518C9DFC469D5146486D5A3BE6</vt:lpwstr>
  </property>
</Properties>
</file>